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D04E28" w:rsidRPr="00287C34" w14:paraId="38F9561A" w14:textId="77777777">
        <w:trPr>
          <w:jc w:val="center"/>
        </w:trPr>
        <w:tc>
          <w:tcPr>
            <w:tcW w:w="10080" w:type="dxa"/>
            <w:tcBorders>
              <w:top w:val="single" w:sz="8" w:space="0" w:color="1F4E79"/>
              <w:left w:val="single" w:sz="8" w:space="0" w:color="1F4E79"/>
              <w:bottom w:val="single" w:sz="8" w:space="0" w:color="1F4E79"/>
              <w:right w:val="single" w:sz="8" w:space="0" w:color="1F4E79"/>
            </w:tcBorders>
            <w:shd w:val="clear" w:color="auto" w:fill="1F4E79"/>
          </w:tcPr>
          <w:p w14:paraId="0F4BAA06" w14:textId="77777777" w:rsidR="00D04E28" w:rsidRPr="00287C34" w:rsidRDefault="00706B99" w:rsidP="00EA0357">
            <w:pPr>
              <w:spacing w:line="240" w:lineRule="auto"/>
              <w:jc w:val="center"/>
              <w:rPr>
                <w:rFonts w:ascii="Times New Roman" w:hAnsi="Times New Roman" w:cs="Times New Roman"/>
                <w:sz w:val="24"/>
                <w:szCs w:val="24"/>
              </w:rPr>
            </w:pPr>
            <w:r w:rsidRPr="00287C34">
              <w:rPr>
                <w:rFonts w:ascii="Times New Roman" w:hAnsi="Times New Roman" w:cs="Times New Roman"/>
                <w:b/>
                <w:color w:val="FFFFFF"/>
                <w:sz w:val="24"/>
                <w:szCs w:val="24"/>
              </w:rPr>
              <w:t>UNIVERSITY OF CAPE COAST</w:t>
            </w:r>
          </w:p>
          <w:p w14:paraId="64C661A6" w14:textId="77777777" w:rsidR="00D04E28" w:rsidRPr="00287C34" w:rsidRDefault="00706B99" w:rsidP="00EA0357">
            <w:pPr>
              <w:spacing w:line="240" w:lineRule="auto"/>
              <w:jc w:val="center"/>
              <w:rPr>
                <w:rFonts w:ascii="Times New Roman" w:hAnsi="Times New Roman" w:cs="Times New Roman"/>
                <w:sz w:val="24"/>
                <w:szCs w:val="24"/>
              </w:rPr>
            </w:pPr>
            <w:r w:rsidRPr="00287C34">
              <w:rPr>
                <w:rFonts w:ascii="Times New Roman" w:hAnsi="Times New Roman" w:cs="Times New Roman"/>
                <w:color w:val="FFFFFF"/>
                <w:sz w:val="24"/>
                <w:szCs w:val="24"/>
              </w:rPr>
              <w:t>COLLEGE OF HUMANITIES AND LEGAL STUDIES</w:t>
            </w:r>
          </w:p>
          <w:p w14:paraId="299D035C" w14:textId="77777777" w:rsidR="00D04E28" w:rsidRPr="00287C34" w:rsidRDefault="00706B99" w:rsidP="00EA0357">
            <w:pPr>
              <w:spacing w:line="240" w:lineRule="auto"/>
              <w:jc w:val="center"/>
              <w:rPr>
                <w:rFonts w:ascii="Times New Roman" w:hAnsi="Times New Roman" w:cs="Times New Roman"/>
                <w:sz w:val="24"/>
                <w:szCs w:val="24"/>
              </w:rPr>
            </w:pPr>
            <w:r w:rsidRPr="00287C34">
              <w:rPr>
                <w:rFonts w:ascii="Times New Roman" w:hAnsi="Times New Roman" w:cs="Times New Roman"/>
                <w:color w:val="FFFFFF"/>
                <w:sz w:val="24"/>
                <w:szCs w:val="24"/>
              </w:rPr>
              <w:t>SCHOOL OF ECONOMICS</w:t>
            </w:r>
          </w:p>
          <w:p w14:paraId="0796A309" w14:textId="77777777" w:rsidR="00D04E28" w:rsidRPr="00287C34" w:rsidRDefault="00706B99" w:rsidP="00EA0357">
            <w:pPr>
              <w:spacing w:line="240" w:lineRule="auto"/>
              <w:jc w:val="center"/>
              <w:rPr>
                <w:rFonts w:ascii="Times New Roman" w:hAnsi="Times New Roman" w:cs="Times New Roman"/>
                <w:sz w:val="24"/>
                <w:szCs w:val="24"/>
              </w:rPr>
            </w:pPr>
            <w:r w:rsidRPr="00287C34">
              <w:rPr>
                <w:rFonts w:ascii="Times New Roman" w:hAnsi="Times New Roman" w:cs="Times New Roman"/>
                <w:color w:val="FFFFFF"/>
                <w:sz w:val="24"/>
                <w:szCs w:val="24"/>
              </w:rPr>
              <w:t>DEPARTMENT OF ECONOMIC STUDIES</w:t>
            </w:r>
          </w:p>
        </w:tc>
      </w:tr>
    </w:tbl>
    <w:p w14:paraId="5069085F" w14:textId="1AC086D2" w:rsidR="00D04E28" w:rsidRPr="00287C34" w:rsidRDefault="00706B99" w:rsidP="00EA0357">
      <w:pPr>
        <w:spacing w:line="240" w:lineRule="auto"/>
        <w:jc w:val="center"/>
        <w:rPr>
          <w:rFonts w:ascii="Times New Roman" w:hAnsi="Times New Roman" w:cs="Times New Roman"/>
          <w:sz w:val="24"/>
          <w:szCs w:val="24"/>
        </w:rPr>
      </w:pPr>
      <w:r w:rsidRPr="00287C34">
        <w:rPr>
          <w:rFonts w:ascii="Times New Roman" w:hAnsi="Times New Roman" w:cs="Times New Roman"/>
          <w:b/>
          <w:color w:val="1F4E79"/>
          <w:sz w:val="24"/>
          <w:szCs w:val="24"/>
        </w:rPr>
        <w:t>2025/2026 ACADEMIC YEAR, SECOND SEMESTER</w:t>
      </w:r>
    </w:p>
    <w:p w14:paraId="6873180D" w14:textId="77777777" w:rsidR="00D04E28" w:rsidRPr="00287C34" w:rsidRDefault="00706B99" w:rsidP="00EA0357">
      <w:pPr>
        <w:spacing w:line="240" w:lineRule="auto"/>
        <w:jc w:val="center"/>
        <w:rPr>
          <w:rFonts w:ascii="Times New Roman" w:hAnsi="Times New Roman" w:cs="Times New Roman"/>
          <w:sz w:val="24"/>
          <w:szCs w:val="24"/>
        </w:rPr>
      </w:pPr>
      <w:r w:rsidRPr="00287C34">
        <w:rPr>
          <w:rFonts w:ascii="Times New Roman" w:hAnsi="Times New Roman" w:cs="Times New Roman"/>
          <w:b/>
          <w:color w:val="0D1B2A"/>
          <w:sz w:val="24"/>
          <w:szCs w:val="24"/>
        </w:rPr>
        <w:t>ECO 324: ECONOMICS OF CAPITAL MARKETS</w:t>
      </w:r>
    </w:p>
    <w:p w14:paraId="7E8FF8E7"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Course Information</w:t>
      </w:r>
    </w:p>
    <w:tbl>
      <w:tblPr>
        <w:tblStyle w:val="TableGrid"/>
        <w:tblW w:w="0" w:type="auto"/>
        <w:jc w:val="center"/>
        <w:tblLook w:val="04A0" w:firstRow="1" w:lastRow="0" w:firstColumn="1" w:lastColumn="0" w:noHBand="0" w:noVBand="1"/>
      </w:tblPr>
      <w:tblGrid>
        <w:gridCol w:w="5040"/>
        <w:gridCol w:w="5040"/>
      </w:tblGrid>
      <w:tr w:rsidR="00D04E28" w:rsidRPr="00287C34" w14:paraId="134C33D5" w14:textId="77777777">
        <w:trPr>
          <w:jc w:val="center"/>
        </w:trPr>
        <w:tc>
          <w:tcPr>
            <w:tcW w:w="5040" w:type="dxa"/>
            <w:shd w:val="clear" w:color="auto" w:fill="D6E4F0"/>
            <w:vAlign w:val="center"/>
          </w:tcPr>
          <w:p w14:paraId="744CBBBD"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Lecturer</w:t>
            </w:r>
          </w:p>
        </w:tc>
        <w:tc>
          <w:tcPr>
            <w:tcW w:w="5040" w:type="dxa"/>
            <w:vAlign w:val="center"/>
          </w:tcPr>
          <w:p w14:paraId="3ECB2B62"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William Godfred Cantah (PhD)</w:t>
            </w:r>
          </w:p>
        </w:tc>
      </w:tr>
      <w:tr w:rsidR="00D04E28" w:rsidRPr="00287C34" w14:paraId="4CB4ECB4" w14:textId="77777777">
        <w:trPr>
          <w:jc w:val="center"/>
        </w:trPr>
        <w:tc>
          <w:tcPr>
            <w:tcW w:w="5040" w:type="dxa"/>
            <w:shd w:val="clear" w:color="auto" w:fill="D6E4F0"/>
            <w:vAlign w:val="center"/>
          </w:tcPr>
          <w:p w14:paraId="6D6D3510"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Graduate Assistant</w:t>
            </w:r>
          </w:p>
        </w:tc>
        <w:tc>
          <w:tcPr>
            <w:tcW w:w="5040" w:type="dxa"/>
            <w:vAlign w:val="center"/>
          </w:tcPr>
          <w:p w14:paraId="119999F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Mr Collins Baffour Kyei</w:t>
            </w:r>
          </w:p>
        </w:tc>
      </w:tr>
      <w:tr w:rsidR="00D04E28" w:rsidRPr="00287C34" w14:paraId="157232F7" w14:textId="77777777">
        <w:trPr>
          <w:jc w:val="center"/>
        </w:trPr>
        <w:tc>
          <w:tcPr>
            <w:tcW w:w="5040" w:type="dxa"/>
            <w:shd w:val="clear" w:color="auto" w:fill="D6E4F0"/>
            <w:vAlign w:val="center"/>
          </w:tcPr>
          <w:p w14:paraId="53E989E9"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Email</w:t>
            </w:r>
          </w:p>
        </w:tc>
        <w:tc>
          <w:tcPr>
            <w:tcW w:w="5040" w:type="dxa"/>
            <w:vAlign w:val="center"/>
          </w:tcPr>
          <w:p w14:paraId="415C854A"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william.cantah@ucc.edu.gh and collins.kyei@stu.ucc.edu.gh</w:t>
            </w:r>
          </w:p>
        </w:tc>
      </w:tr>
      <w:tr w:rsidR="00D04E28" w:rsidRPr="00287C34" w14:paraId="52825445" w14:textId="77777777">
        <w:trPr>
          <w:jc w:val="center"/>
        </w:trPr>
        <w:tc>
          <w:tcPr>
            <w:tcW w:w="5040" w:type="dxa"/>
            <w:shd w:val="clear" w:color="auto" w:fill="D6E4F0"/>
            <w:vAlign w:val="center"/>
          </w:tcPr>
          <w:p w14:paraId="5919E15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Office</w:t>
            </w:r>
          </w:p>
        </w:tc>
        <w:tc>
          <w:tcPr>
            <w:tcW w:w="5040" w:type="dxa"/>
            <w:vAlign w:val="center"/>
          </w:tcPr>
          <w:p w14:paraId="50E73FA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DF1, Old Administration Block, First Floor</w:t>
            </w:r>
          </w:p>
        </w:tc>
      </w:tr>
      <w:tr w:rsidR="00D04E28" w:rsidRPr="00287C34" w14:paraId="7386E4F5" w14:textId="77777777">
        <w:trPr>
          <w:jc w:val="center"/>
        </w:trPr>
        <w:tc>
          <w:tcPr>
            <w:tcW w:w="5040" w:type="dxa"/>
            <w:shd w:val="clear" w:color="auto" w:fill="D6E4F0"/>
            <w:vAlign w:val="center"/>
          </w:tcPr>
          <w:p w14:paraId="6CE7AA0A"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Consultation</w:t>
            </w:r>
          </w:p>
        </w:tc>
        <w:tc>
          <w:tcPr>
            <w:tcW w:w="5040" w:type="dxa"/>
            <w:vAlign w:val="center"/>
          </w:tcPr>
          <w:p w14:paraId="0E732CB5" w14:textId="77777777" w:rsidR="00D04E28" w:rsidRPr="00287C34" w:rsidRDefault="00706B99" w:rsidP="00EA0357">
            <w:pPr>
              <w:jc w:val="both"/>
              <w:rPr>
                <w:rFonts w:ascii="Times New Roman" w:hAnsi="Times New Roman" w:cs="Times New Roman"/>
                <w:sz w:val="24"/>
                <w:szCs w:val="24"/>
              </w:rPr>
            </w:pPr>
            <w:proofErr w:type="gramStart"/>
            <w:r w:rsidRPr="00287C34">
              <w:rPr>
                <w:rFonts w:ascii="Times New Roman" w:hAnsi="Times New Roman" w:cs="Times New Roman"/>
                <w:sz w:val="24"/>
                <w:szCs w:val="24"/>
              </w:rPr>
              <w:t>Booking of</w:t>
            </w:r>
            <w:proofErr w:type="gramEnd"/>
            <w:r w:rsidRPr="00287C34">
              <w:rPr>
                <w:rFonts w:ascii="Times New Roman" w:hAnsi="Times New Roman" w:cs="Times New Roman"/>
                <w:sz w:val="24"/>
                <w:szCs w:val="24"/>
              </w:rPr>
              <w:t xml:space="preserve"> appointments is strictly by email.</w:t>
            </w:r>
          </w:p>
        </w:tc>
      </w:tr>
      <w:tr w:rsidR="00D04E28" w:rsidRPr="00287C34" w14:paraId="37C93A8E" w14:textId="77777777">
        <w:trPr>
          <w:jc w:val="center"/>
        </w:trPr>
        <w:tc>
          <w:tcPr>
            <w:tcW w:w="5040" w:type="dxa"/>
            <w:shd w:val="clear" w:color="auto" w:fill="D6E4F0"/>
            <w:vAlign w:val="center"/>
          </w:tcPr>
          <w:p w14:paraId="190A769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Academic Calendar</w:t>
            </w:r>
          </w:p>
        </w:tc>
        <w:tc>
          <w:tcPr>
            <w:tcW w:w="5040" w:type="dxa"/>
            <w:vAlign w:val="center"/>
          </w:tcPr>
          <w:p w14:paraId="4174C57E"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Nine teaching weeks</w:t>
            </w:r>
          </w:p>
        </w:tc>
      </w:tr>
    </w:tbl>
    <w:p w14:paraId="3DD833E0"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Main Text</w:t>
      </w:r>
    </w:p>
    <w:p w14:paraId="2A4AED7F" w14:textId="77777777" w:rsidR="00D04E28" w:rsidRPr="00287C34" w:rsidRDefault="00706B99" w:rsidP="00EA0357">
      <w:pPr>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 xml:space="preserve">Bodie, Z., Kane, A., and Marcus, A. J. (2024). </w:t>
      </w:r>
      <w:r w:rsidRPr="00287C34">
        <w:rPr>
          <w:rFonts w:ascii="Times New Roman" w:hAnsi="Times New Roman" w:cs="Times New Roman"/>
          <w:i/>
          <w:sz w:val="24"/>
          <w:szCs w:val="24"/>
        </w:rPr>
        <w:t>Investments</w:t>
      </w:r>
      <w:r w:rsidRPr="00287C34">
        <w:rPr>
          <w:rFonts w:ascii="Times New Roman" w:hAnsi="Times New Roman" w:cs="Times New Roman"/>
          <w:sz w:val="24"/>
          <w:szCs w:val="24"/>
        </w:rPr>
        <w:t xml:space="preserve"> (13th ed.). McGraw Hill Education. </w:t>
      </w:r>
      <w:hyperlink r:id="rId8">
        <w:r w:rsidRPr="00287C34">
          <w:rPr>
            <w:rFonts w:ascii="Times New Roman" w:hAnsi="Times New Roman" w:cs="Times New Roman"/>
            <w:color w:val="0563C1"/>
            <w:sz w:val="24"/>
            <w:szCs w:val="24"/>
            <w:u w:val="single"/>
          </w:rPr>
          <w:t>Publis</w:t>
        </w:r>
        <w:r w:rsidRPr="00287C34">
          <w:rPr>
            <w:rFonts w:ascii="Times New Roman" w:hAnsi="Times New Roman" w:cs="Times New Roman"/>
            <w:color w:val="0563C1"/>
            <w:sz w:val="24"/>
            <w:szCs w:val="24"/>
            <w:u w:val="single"/>
          </w:rPr>
          <w:t>h</w:t>
        </w:r>
        <w:r w:rsidRPr="00287C34">
          <w:rPr>
            <w:rFonts w:ascii="Times New Roman" w:hAnsi="Times New Roman" w:cs="Times New Roman"/>
            <w:color w:val="0563C1"/>
            <w:sz w:val="24"/>
            <w:szCs w:val="24"/>
            <w:u w:val="single"/>
          </w:rPr>
          <w:t>er page</w:t>
        </w:r>
      </w:hyperlink>
    </w:p>
    <w:p w14:paraId="1785E1CD"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Supplementary Reading Materials</w:t>
      </w:r>
    </w:p>
    <w:p w14:paraId="063445F3" w14:textId="77777777" w:rsidR="00D04E28" w:rsidRPr="00287C34" w:rsidRDefault="00706B99" w:rsidP="00EA0357">
      <w:pPr>
        <w:spacing w:line="240" w:lineRule="auto"/>
        <w:ind w:left="360"/>
        <w:jc w:val="both"/>
        <w:rPr>
          <w:rFonts w:ascii="Times New Roman" w:hAnsi="Times New Roman" w:cs="Times New Roman"/>
          <w:sz w:val="24"/>
          <w:szCs w:val="24"/>
        </w:rPr>
      </w:pPr>
      <w:r w:rsidRPr="00287C34">
        <w:rPr>
          <w:rFonts w:ascii="Times New Roman" w:hAnsi="Times New Roman" w:cs="Times New Roman"/>
          <w:sz w:val="24"/>
          <w:szCs w:val="24"/>
        </w:rPr>
        <w:t xml:space="preserve">Black, F., and Scholes, M. (1973). </w:t>
      </w:r>
      <w:proofErr w:type="gramStart"/>
      <w:r w:rsidRPr="00287C34">
        <w:rPr>
          <w:rFonts w:ascii="Times New Roman" w:hAnsi="Times New Roman" w:cs="Times New Roman"/>
          <w:sz w:val="24"/>
          <w:szCs w:val="24"/>
        </w:rPr>
        <w:t>The pricing</w:t>
      </w:r>
      <w:proofErr w:type="gramEnd"/>
      <w:r w:rsidRPr="00287C34">
        <w:rPr>
          <w:rFonts w:ascii="Times New Roman" w:hAnsi="Times New Roman" w:cs="Times New Roman"/>
          <w:sz w:val="24"/>
          <w:szCs w:val="24"/>
        </w:rPr>
        <w:t xml:space="preserve"> of options and corporate liabilities. Journal of Political Economy. </w:t>
      </w:r>
      <w:hyperlink r:id="rId9">
        <w:r w:rsidRPr="00287C34">
          <w:rPr>
            <w:rFonts w:ascii="Times New Roman" w:hAnsi="Times New Roman" w:cs="Times New Roman"/>
            <w:color w:val="0563C1"/>
            <w:sz w:val="24"/>
            <w:szCs w:val="24"/>
            <w:u w:val="single"/>
          </w:rPr>
          <w:t>Li</w:t>
        </w:r>
        <w:r w:rsidRPr="00287C34">
          <w:rPr>
            <w:rFonts w:ascii="Times New Roman" w:hAnsi="Times New Roman" w:cs="Times New Roman"/>
            <w:color w:val="0563C1"/>
            <w:sz w:val="24"/>
            <w:szCs w:val="24"/>
            <w:u w:val="single"/>
          </w:rPr>
          <w:t>n</w:t>
        </w:r>
        <w:r w:rsidRPr="00287C34">
          <w:rPr>
            <w:rFonts w:ascii="Times New Roman" w:hAnsi="Times New Roman" w:cs="Times New Roman"/>
            <w:color w:val="0563C1"/>
            <w:sz w:val="24"/>
            <w:szCs w:val="24"/>
            <w:u w:val="single"/>
          </w:rPr>
          <w:t>k</w:t>
        </w:r>
      </w:hyperlink>
    </w:p>
    <w:p w14:paraId="1E6C31E7" w14:textId="77777777" w:rsidR="00D04E28" w:rsidRPr="00287C34" w:rsidRDefault="00706B99" w:rsidP="00EA0357">
      <w:pPr>
        <w:spacing w:line="240" w:lineRule="auto"/>
        <w:ind w:left="360"/>
        <w:jc w:val="both"/>
        <w:rPr>
          <w:rFonts w:ascii="Times New Roman" w:hAnsi="Times New Roman" w:cs="Times New Roman"/>
          <w:sz w:val="24"/>
          <w:szCs w:val="24"/>
        </w:rPr>
      </w:pPr>
      <w:r w:rsidRPr="00287C34">
        <w:rPr>
          <w:rFonts w:ascii="Times New Roman" w:hAnsi="Times New Roman" w:cs="Times New Roman"/>
          <w:sz w:val="24"/>
          <w:szCs w:val="24"/>
        </w:rPr>
        <w:t xml:space="preserve">Malkiel, B. G. (2016). A Random Walk Down Wall Street. W. W. Norton and Company. </w:t>
      </w:r>
      <w:hyperlink r:id="rId10">
        <w:r w:rsidRPr="00287C34">
          <w:rPr>
            <w:rFonts w:ascii="Times New Roman" w:hAnsi="Times New Roman" w:cs="Times New Roman"/>
            <w:color w:val="0563C1"/>
            <w:sz w:val="24"/>
            <w:szCs w:val="24"/>
            <w:u w:val="single"/>
          </w:rPr>
          <w:t>Link</w:t>
        </w:r>
      </w:hyperlink>
    </w:p>
    <w:p w14:paraId="37C32E5B" w14:textId="77777777" w:rsidR="00D04E28" w:rsidRPr="00287C34" w:rsidRDefault="00706B99" w:rsidP="00EA0357">
      <w:pPr>
        <w:spacing w:line="240" w:lineRule="auto"/>
        <w:ind w:left="360"/>
        <w:jc w:val="both"/>
        <w:rPr>
          <w:rFonts w:ascii="Times New Roman" w:hAnsi="Times New Roman" w:cs="Times New Roman"/>
          <w:sz w:val="24"/>
          <w:szCs w:val="24"/>
        </w:rPr>
      </w:pPr>
      <w:r w:rsidRPr="00287C34">
        <w:rPr>
          <w:rFonts w:ascii="Times New Roman" w:hAnsi="Times New Roman" w:cs="Times New Roman"/>
          <w:sz w:val="24"/>
          <w:szCs w:val="24"/>
        </w:rPr>
        <w:t xml:space="preserve">Levine, R., and Zervos, S. (1998). Stock markets, banks, and economic growth. American Economic Review. </w:t>
      </w:r>
      <w:hyperlink r:id="rId11">
        <w:r w:rsidRPr="00287C34">
          <w:rPr>
            <w:rFonts w:ascii="Times New Roman" w:hAnsi="Times New Roman" w:cs="Times New Roman"/>
            <w:color w:val="0563C1"/>
            <w:sz w:val="24"/>
            <w:szCs w:val="24"/>
            <w:u w:val="single"/>
          </w:rPr>
          <w:t>Link</w:t>
        </w:r>
      </w:hyperlink>
    </w:p>
    <w:p w14:paraId="55D61ED1" w14:textId="77777777" w:rsidR="00D04E28" w:rsidRPr="00287C34" w:rsidRDefault="00706B99" w:rsidP="00EA0357">
      <w:pPr>
        <w:spacing w:line="240" w:lineRule="auto"/>
        <w:ind w:left="360"/>
        <w:jc w:val="both"/>
        <w:rPr>
          <w:rFonts w:ascii="Times New Roman" w:hAnsi="Times New Roman" w:cs="Times New Roman"/>
          <w:sz w:val="24"/>
          <w:szCs w:val="24"/>
        </w:rPr>
      </w:pPr>
      <w:r w:rsidRPr="00287C34">
        <w:rPr>
          <w:rFonts w:ascii="Times New Roman" w:hAnsi="Times New Roman" w:cs="Times New Roman"/>
          <w:sz w:val="24"/>
          <w:szCs w:val="24"/>
        </w:rPr>
        <w:t xml:space="preserve">Bank of Ghana reports. </w:t>
      </w:r>
      <w:hyperlink r:id="rId12">
        <w:r w:rsidRPr="00287C34">
          <w:rPr>
            <w:rFonts w:ascii="Times New Roman" w:hAnsi="Times New Roman" w:cs="Times New Roman"/>
            <w:color w:val="0563C1"/>
            <w:sz w:val="24"/>
            <w:szCs w:val="24"/>
            <w:u w:val="single"/>
          </w:rPr>
          <w:t>Link</w:t>
        </w:r>
      </w:hyperlink>
    </w:p>
    <w:p w14:paraId="126915E4" w14:textId="77777777" w:rsidR="00D04E28" w:rsidRPr="00287C34" w:rsidRDefault="00706B99" w:rsidP="00EA0357">
      <w:pPr>
        <w:spacing w:line="240" w:lineRule="auto"/>
        <w:ind w:left="360"/>
        <w:jc w:val="both"/>
        <w:rPr>
          <w:rFonts w:ascii="Times New Roman" w:hAnsi="Times New Roman" w:cs="Times New Roman"/>
          <w:sz w:val="24"/>
          <w:szCs w:val="24"/>
        </w:rPr>
      </w:pPr>
      <w:r w:rsidRPr="00287C34">
        <w:rPr>
          <w:rFonts w:ascii="Times New Roman" w:hAnsi="Times New Roman" w:cs="Times New Roman"/>
          <w:sz w:val="24"/>
          <w:szCs w:val="24"/>
        </w:rPr>
        <w:t xml:space="preserve">Ghana Stock Exchange annual reports. </w:t>
      </w:r>
      <w:hyperlink r:id="rId13">
        <w:r w:rsidRPr="00287C34">
          <w:rPr>
            <w:rFonts w:ascii="Times New Roman" w:hAnsi="Times New Roman" w:cs="Times New Roman"/>
            <w:color w:val="0563C1"/>
            <w:sz w:val="24"/>
            <w:szCs w:val="24"/>
            <w:u w:val="single"/>
          </w:rPr>
          <w:t>Link</w:t>
        </w:r>
      </w:hyperlink>
    </w:p>
    <w:p w14:paraId="647976C3"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Course Description</w:t>
      </w:r>
    </w:p>
    <w:p w14:paraId="22CDF3C1" w14:textId="77777777" w:rsidR="00D04E28" w:rsidRPr="00287C34" w:rsidRDefault="00706B99" w:rsidP="00EA0357">
      <w:pPr>
        <w:spacing w:after="120" w:line="240" w:lineRule="auto"/>
        <w:jc w:val="both"/>
        <w:rPr>
          <w:rFonts w:ascii="Times New Roman" w:hAnsi="Times New Roman" w:cs="Times New Roman"/>
          <w:sz w:val="24"/>
          <w:szCs w:val="24"/>
        </w:rPr>
      </w:pPr>
      <w:r w:rsidRPr="00287C34">
        <w:rPr>
          <w:rFonts w:ascii="Times New Roman" w:hAnsi="Times New Roman" w:cs="Times New Roman"/>
          <w:sz w:val="24"/>
          <w:szCs w:val="24"/>
        </w:rPr>
        <w:t>This course explores the economics underlying capital markets, with particular attention to how financial instruments and organised markets mobilise savings, allocate capital, support investment decisions, and promote economic growth. Students will study the main institutions, instruments, and mechanisms through which capital markets operate, including equities, bonds, derivatives, primary markets, secondary markets, and regulatory systems. The course links economic theory with practical market behaviour so</w:t>
      </w:r>
      <w:r w:rsidRPr="00287C34">
        <w:rPr>
          <w:rFonts w:ascii="Times New Roman" w:hAnsi="Times New Roman" w:cs="Times New Roman"/>
          <w:sz w:val="24"/>
          <w:szCs w:val="24"/>
        </w:rPr>
        <w:t xml:space="preserve"> that students can understand both the analytical foundations of capital markets and their application in real financial environments.</w:t>
      </w:r>
    </w:p>
    <w:p w14:paraId="520CEF94" w14:textId="77777777" w:rsidR="00D04E28" w:rsidRPr="00287C34" w:rsidRDefault="00706B99" w:rsidP="00EA0357">
      <w:pPr>
        <w:spacing w:after="120" w:line="240" w:lineRule="auto"/>
        <w:jc w:val="both"/>
        <w:rPr>
          <w:rFonts w:ascii="Times New Roman" w:hAnsi="Times New Roman" w:cs="Times New Roman"/>
          <w:sz w:val="24"/>
          <w:szCs w:val="24"/>
        </w:rPr>
      </w:pPr>
      <w:r w:rsidRPr="00287C34">
        <w:rPr>
          <w:rFonts w:ascii="Times New Roman" w:hAnsi="Times New Roman" w:cs="Times New Roman"/>
          <w:sz w:val="24"/>
          <w:szCs w:val="24"/>
        </w:rPr>
        <w:t xml:space="preserve">The course also develops students' ability to analyse valuation, risk, return, market efficiency, and the behaviour of investors and financial institutions. It examines the relationship between interest rates, asset prices, portfolio decisions, and capital market development. </w:t>
      </w:r>
      <w:proofErr w:type="gramStart"/>
      <w:r w:rsidRPr="00287C34">
        <w:rPr>
          <w:rFonts w:ascii="Times New Roman" w:hAnsi="Times New Roman" w:cs="Times New Roman"/>
          <w:sz w:val="24"/>
          <w:szCs w:val="24"/>
        </w:rPr>
        <w:t>Particular emphasis</w:t>
      </w:r>
      <w:proofErr w:type="gramEnd"/>
      <w:r w:rsidRPr="00287C34">
        <w:rPr>
          <w:rFonts w:ascii="Times New Roman" w:hAnsi="Times New Roman" w:cs="Times New Roman"/>
          <w:sz w:val="24"/>
          <w:szCs w:val="24"/>
        </w:rPr>
        <w:t xml:space="preserve"> is placed on the </w:t>
      </w:r>
      <w:r w:rsidRPr="00287C34">
        <w:rPr>
          <w:rFonts w:ascii="Times New Roman" w:hAnsi="Times New Roman" w:cs="Times New Roman"/>
          <w:sz w:val="24"/>
          <w:szCs w:val="24"/>
        </w:rPr>
        <w:lastRenderedPageBreak/>
        <w:t>Ghanaian capital market, including the role of the Ghana Stock Exchange, the Securities and Exchange Commission, the Bank of Ghana, government securities, corporate bonds, and market reforms.</w:t>
      </w:r>
    </w:p>
    <w:p w14:paraId="554FF102" w14:textId="77777777" w:rsidR="00D04E28" w:rsidRPr="00287C34" w:rsidRDefault="00706B99" w:rsidP="00EA0357">
      <w:pPr>
        <w:spacing w:after="120" w:line="240" w:lineRule="auto"/>
        <w:jc w:val="both"/>
        <w:rPr>
          <w:rFonts w:ascii="Times New Roman" w:hAnsi="Times New Roman" w:cs="Times New Roman"/>
          <w:sz w:val="24"/>
          <w:szCs w:val="24"/>
        </w:rPr>
      </w:pPr>
      <w:proofErr w:type="gramStart"/>
      <w:r w:rsidRPr="00287C34">
        <w:rPr>
          <w:rFonts w:ascii="Times New Roman" w:hAnsi="Times New Roman" w:cs="Times New Roman"/>
          <w:sz w:val="24"/>
          <w:szCs w:val="24"/>
        </w:rPr>
        <w:t>By</w:t>
      </w:r>
      <w:proofErr w:type="gramEnd"/>
      <w:r w:rsidRPr="00287C34">
        <w:rPr>
          <w:rFonts w:ascii="Times New Roman" w:hAnsi="Times New Roman" w:cs="Times New Roman"/>
          <w:sz w:val="24"/>
          <w:szCs w:val="24"/>
        </w:rPr>
        <w:t xml:space="preserve"> the end of the course, students should be able to explain how capital markets function, evaluate financial instruments, interpret market information, and assess the contribution of capital markets to development in emerging economies. The course is designed to prepare students for advanced study in finance, investment analysis, monetary economics, development finance, and policy-oriented research on financial markets.</w:t>
      </w:r>
    </w:p>
    <w:p w14:paraId="76DDB74F"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Course Objectives</w:t>
      </w:r>
    </w:p>
    <w:p w14:paraId="32CE4CE2"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Understand the structure and functioning of capital markets, including primary and secondary markets.</w:t>
      </w:r>
    </w:p>
    <w:p w14:paraId="2F684542"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Evaluate the role of financial institutions, financial instruments, and regulation in economic development.</w:t>
      </w:r>
    </w:p>
    <w:p w14:paraId="4E35AF92"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Analyse the relationship between interest rates, risk, return, and asset pricing.</w:t>
      </w:r>
    </w:p>
    <w:p w14:paraId="7C9D4F86"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Apply valuation principles to bonds, equities, and selected derivative instruments.</w:t>
      </w:r>
    </w:p>
    <w:p w14:paraId="3A00BF91"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Assess capital market development in Ghana and compare it with selected emerging markets.</w:t>
      </w:r>
    </w:p>
    <w:p w14:paraId="49C1E921"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Course Content</w:t>
      </w:r>
    </w:p>
    <w:p w14:paraId="2F196D75" w14:textId="77777777" w:rsidR="00D04E28" w:rsidRPr="00287C34" w:rsidRDefault="00706B99" w:rsidP="00EA0357">
      <w:pPr>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The course has been restructured into nine teaching weeks to reflect the academic calendar for the 2025/2026 academic year.</w:t>
      </w:r>
    </w:p>
    <w:tbl>
      <w:tblPr>
        <w:tblStyle w:val="TableGrid"/>
        <w:tblW w:w="0" w:type="auto"/>
        <w:jc w:val="center"/>
        <w:tblLook w:val="04A0" w:firstRow="1" w:lastRow="0" w:firstColumn="1" w:lastColumn="0" w:noHBand="0" w:noVBand="1"/>
      </w:tblPr>
      <w:tblGrid>
        <w:gridCol w:w="803"/>
        <w:gridCol w:w="2546"/>
        <w:gridCol w:w="6947"/>
      </w:tblGrid>
      <w:tr w:rsidR="00D04E28" w:rsidRPr="00287C34" w14:paraId="0AB8DC2D" w14:textId="77777777" w:rsidTr="00B75F46">
        <w:trPr>
          <w:tblHeader/>
          <w:jc w:val="center"/>
        </w:trPr>
        <w:tc>
          <w:tcPr>
            <w:tcW w:w="0" w:type="auto"/>
            <w:shd w:val="clear" w:color="auto" w:fill="1F4E79"/>
          </w:tcPr>
          <w:p w14:paraId="7D88EC81"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Week</w:t>
            </w:r>
          </w:p>
        </w:tc>
        <w:tc>
          <w:tcPr>
            <w:tcW w:w="0" w:type="auto"/>
            <w:shd w:val="clear" w:color="auto" w:fill="1F4E79"/>
          </w:tcPr>
          <w:p w14:paraId="08E60A40"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Topic</w:t>
            </w:r>
          </w:p>
        </w:tc>
        <w:tc>
          <w:tcPr>
            <w:tcW w:w="0" w:type="auto"/>
            <w:shd w:val="clear" w:color="auto" w:fill="1F4E79"/>
          </w:tcPr>
          <w:p w14:paraId="7C23F69D"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Coverage</w:t>
            </w:r>
          </w:p>
        </w:tc>
      </w:tr>
      <w:tr w:rsidR="00D04E28" w:rsidRPr="00287C34" w14:paraId="283B9500" w14:textId="77777777" w:rsidTr="00B75F46">
        <w:trPr>
          <w:jc w:val="center"/>
        </w:trPr>
        <w:tc>
          <w:tcPr>
            <w:tcW w:w="0" w:type="auto"/>
          </w:tcPr>
          <w:p w14:paraId="70E356A1"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1</w:t>
            </w:r>
          </w:p>
        </w:tc>
        <w:tc>
          <w:tcPr>
            <w:tcW w:w="0" w:type="auto"/>
          </w:tcPr>
          <w:p w14:paraId="5C7F45BD"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Introduction to Capital Markets</w:t>
            </w:r>
          </w:p>
        </w:tc>
        <w:tc>
          <w:tcPr>
            <w:tcW w:w="0" w:type="auto"/>
          </w:tcPr>
          <w:p w14:paraId="19A34931"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Overview of capital markets. Financial systems and economic development. Role of financial institutions and intermediaries.</w:t>
            </w:r>
          </w:p>
        </w:tc>
      </w:tr>
      <w:tr w:rsidR="00D04E28" w:rsidRPr="00287C34" w14:paraId="65F6A9E8" w14:textId="77777777" w:rsidTr="00B75F46">
        <w:trPr>
          <w:jc w:val="center"/>
        </w:trPr>
        <w:tc>
          <w:tcPr>
            <w:tcW w:w="0" w:type="auto"/>
          </w:tcPr>
          <w:p w14:paraId="10CFDD52"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2</w:t>
            </w:r>
          </w:p>
        </w:tc>
        <w:tc>
          <w:tcPr>
            <w:tcW w:w="0" w:type="auto"/>
          </w:tcPr>
          <w:p w14:paraId="116A4EBC"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Financial Instruments</w:t>
            </w:r>
          </w:p>
        </w:tc>
        <w:tc>
          <w:tcPr>
            <w:tcW w:w="0" w:type="auto"/>
          </w:tcPr>
          <w:p w14:paraId="365B41C3"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Equities, bonds, and derivatives. Money market and capital market distinction. Characteristics of financial assets.</w:t>
            </w:r>
          </w:p>
        </w:tc>
      </w:tr>
      <w:tr w:rsidR="00D04E28" w:rsidRPr="00287C34" w14:paraId="3DC7F657" w14:textId="77777777" w:rsidTr="00B75F46">
        <w:trPr>
          <w:jc w:val="center"/>
        </w:trPr>
        <w:tc>
          <w:tcPr>
            <w:tcW w:w="0" w:type="auto"/>
          </w:tcPr>
          <w:p w14:paraId="42E121D7"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3</w:t>
            </w:r>
          </w:p>
        </w:tc>
        <w:tc>
          <w:tcPr>
            <w:tcW w:w="0" w:type="auto"/>
          </w:tcPr>
          <w:p w14:paraId="51DC18E9"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Primary and Secondary Capital Markets</w:t>
            </w:r>
          </w:p>
        </w:tc>
        <w:tc>
          <w:tcPr>
            <w:tcW w:w="0" w:type="auto"/>
          </w:tcPr>
          <w:p w14:paraId="03B47A64"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New issue market. Initial public offerings. Underwriting processes. Securities issuance and pricing. Stock exchanges and over the counter markets. Liquidity and price discovery.</w:t>
            </w:r>
          </w:p>
        </w:tc>
      </w:tr>
      <w:tr w:rsidR="00D04E28" w:rsidRPr="00287C34" w14:paraId="03F6F280" w14:textId="77777777" w:rsidTr="00B75F46">
        <w:trPr>
          <w:jc w:val="center"/>
        </w:trPr>
        <w:tc>
          <w:tcPr>
            <w:tcW w:w="0" w:type="auto"/>
          </w:tcPr>
          <w:p w14:paraId="3B42414C"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4</w:t>
            </w:r>
          </w:p>
        </w:tc>
        <w:tc>
          <w:tcPr>
            <w:tcW w:w="0" w:type="auto"/>
          </w:tcPr>
          <w:p w14:paraId="77CFC457"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Interest Rates and Valuation</w:t>
            </w:r>
          </w:p>
        </w:tc>
        <w:tc>
          <w:tcPr>
            <w:tcW w:w="0" w:type="auto"/>
          </w:tcPr>
          <w:p w14:paraId="78AC4599"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Time value of money. Interest rate determination and structure. Bond pricing. Equity valuation principles.</w:t>
            </w:r>
          </w:p>
        </w:tc>
      </w:tr>
      <w:tr w:rsidR="00D04E28" w:rsidRPr="00287C34" w14:paraId="175F877C" w14:textId="77777777" w:rsidTr="00B75F46">
        <w:trPr>
          <w:jc w:val="center"/>
        </w:trPr>
        <w:tc>
          <w:tcPr>
            <w:tcW w:w="0" w:type="auto"/>
          </w:tcPr>
          <w:p w14:paraId="33C1CBFA"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5</w:t>
            </w:r>
          </w:p>
        </w:tc>
        <w:tc>
          <w:tcPr>
            <w:tcW w:w="0" w:type="auto"/>
          </w:tcPr>
          <w:p w14:paraId="2CBB077E"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Risk and Return in Capital Markets</w:t>
            </w:r>
          </w:p>
        </w:tc>
        <w:tc>
          <w:tcPr>
            <w:tcW w:w="0" w:type="auto"/>
          </w:tcPr>
          <w:p w14:paraId="1E1B462A"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Risk return trade off. Portfolio theory and diversification. Capital Asset Pricing Model and its application.</w:t>
            </w:r>
          </w:p>
        </w:tc>
      </w:tr>
      <w:tr w:rsidR="00D04E28" w:rsidRPr="00287C34" w14:paraId="6DC80EE9" w14:textId="77777777" w:rsidTr="00B75F46">
        <w:trPr>
          <w:jc w:val="center"/>
        </w:trPr>
        <w:tc>
          <w:tcPr>
            <w:tcW w:w="0" w:type="auto"/>
          </w:tcPr>
          <w:p w14:paraId="46DD6BCD"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6</w:t>
            </w:r>
          </w:p>
        </w:tc>
        <w:tc>
          <w:tcPr>
            <w:tcW w:w="0" w:type="auto"/>
          </w:tcPr>
          <w:p w14:paraId="377D6373"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Debt and Equity Markets</w:t>
            </w:r>
          </w:p>
        </w:tc>
        <w:tc>
          <w:tcPr>
            <w:tcW w:w="0" w:type="auto"/>
          </w:tcPr>
          <w:p w14:paraId="605D13A8"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Bond markets and yield curves. Risk premiums, interest rate risk, and default risk. Equity instruments, stock market dynamics, and dividend valuation model.</w:t>
            </w:r>
          </w:p>
        </w:tc>
      </w:tr>
      <w:tr w:rsidR="00D04E28" w:rsidRPr="00287C34" w14:paraId="1DFBA687" w14:textId="77777777" w:rsidTr="00B75F46">
        <w:trPr>
          <w:jc w:val="center"/>
        </w:trPr>
        <w:tc>
          <w:tcPr>
            <w:tcW w:w="0" w:type="auto"/>
          </w:tcPr>
          <w:p w14:paraId="2EF0FCA7"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7</w:t>
            </w:r>
          </w:p>
        </w:tc>
        <w:tc>
          <w:tcPr>
            <w:tcW w:w="0" w:type="auto"/>
          </w:tcPr>
          <w:p w14:paraId="6E195DD2"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Derivative Markets</w:t>
            </w:r>
          </w:p>
        </w:tc>
        <w:tc>
          <w:tcPr>
            <w:tcW w:w="0" w:type="auto"/>
          </w:tcPr>
          <w:p w14:paraId="5E31223F"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Futures, options, and swaps. Hedging and speculation. Market implications of derivative trading.</w:t>
            </w:r>
          </w:p>
        </w:tc>
      </w:tr>
      <w:tr w:rsidR="00D04E28" w:rsidRPr="00287C34" w14:paraId="5D60D167" w14:textId="77777777" w:rsidTr="00B75F46">
        <w:trPr>
          <w:jc w:val="center"/>
        </w:trPr>
        <w:tc>
          <w:tcPr>
            <w:tcW w:w="0" w:type="auto"/>
          </w:tcPr>
          <w:p w14:paraId="5A304223"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8</w:t>
            </w:r>
          </w:p>
        </w:tc>
        <w:tc>
          <w:tcPr>
            <w:tcW w:w="0" w:type="auto"/>
          </w:tcPr>
          <w:p w14:paraId="0866224B"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Financial Regulation and Market Development</w:t>
            </w:r>
          </w:p>
        </w:tc>
        <w:tc>
          <w:tcPr>
            <w:tcW w:w="0" w:type="auto"/>
          </w:tcPr>
          <w:p w14:paraId="513E4819"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Regulatory agencies including Securities and Exchange Commission and Bank of Ghana. Market supervision and investor protection. Ghana capital market development.</w:t>
            </w:r>
          </w:p>
        </w:tc>
      </w:tr>
      <w:tr w:rsidR="00D04E28" w:rsidRPr="00287C34" w14:paraId="2FA9D88D" w14:textId="77777777" w:rsidTr="00B75F46">
        <w:trPr>
          <w:jc w:val="center"/>
        </w:trPr>
        <w:tc>
          <w:tcPr>
            <w:tcW w:w="0" w:type="auto"/>
          </w:tcPr>
          <w:p w14:paraId="664E52F4"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9</w:t>
            </w:r>
          </w:p>
        </w:tc>
        <w:tc>
          <w:tcPr>
            <w:tcW w:w="0" w:type="auto"/>
          </w:tcPr>
          <w:p w14:paraId="65D1421D"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Case Studies and Course Review</w:t>
            </w:r>
          </w:p>
        </w:tc>
        <w:tc>
          <w:tcPr>
            <w:tcW w:w="0" w:type="auto"/>
          </w:tcPr>
          <w:p w14:paraId="27E24CD2" w14:textId="77777777" w:rsidR="00D04E28" w:rsidRPr="00287C34" w:rsidRDefault="00706B99" w:rsidP="00EA0357">
            <w:pPr>
              <w:spacing w:after="40"/>
              <w:jc w:val="both"/>
              <w:rPr>
                <w:rFonts w:ascii="Times New Roman" w:hAnsi="Times New Roman" w:cs="Times New Roman"/>
                <w:sz w:val="24"/>
                <w:szCs w:val="24"/>
              </w:rPr>
            </w:pPr>
            <w:r w:rsidRPr="00287C34">
              <w:rPr>
                <w:rFonts w:ascii="Times New Roman" w:hAnsi="Times New Roman" w:cs="Times New Roman"/>
                <w:sz w:val="24"/>
                <w:szCs w:val="24"/>
              </w:rPr>
              <w:t>Capital market development in Ghana. Challenges and opportunities in African markets. Comparative examples from Kenya and Nigeria. Integrative review and examination preparation.</w:t>
            </w:r>
          </w:p>
        </w:tc>
      </w:tr>
    </w:tbl>
    <w:p w14:paraId="21E55EE8"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lastRenderedPageBreak/>
        <w:t>Teaching and Learning Strategies</w:t>
      </w:r>
    </w:p>
    <w:p w14:paraId="7776C145"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Case studies drawn from Ghana and selected emerging markets.</w:t>
      </w:r>
    </w:p>
    <w:p w14:paraId="21E16FDA"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Discussion method and guided class interaction.</w:t>
      </w:r>
    </w:p>
    <w:p w14:paraId="608CB45E"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Group and individual work.</w:t>
      </w:r>
    </w:p>
    <w:p w14:paraId="10F06081"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Problem solving exercises.</w:t>
      </w:r>
    </w:p>
    <w:p w14:paraId="70B2ECFB"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Face to face lectures and expositions.</w:t>
      </w:r>
    </w:p>
    <w:p w14:paraId="1B3A5B43"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Online lectures and digital learning support.</w:t>
      </w:r>
    </w:p>
    <w:p w14:paraId="28CBD968" w14:textId="77777777" w:rsidR="00D04E28" w:rsidRPr="00287C34" w:rsidRDefault="00706B99" w:rsidP="00EA0357">
      <w:pPr>
        <w:pStyle w:val="ListBullet"/>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Computer based practical sessions where applicable.</w:t>
      </w:r>
    </w:p>
    <w:p w14:paraId="2F6029DF"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Assessment</w:t>
      </w:r>
    </w:p>
    <w:p w14:paraId="1733279B" w14:textId="77777777" w:rsidR="00D04E28" w:rsidRPr="00287C34" w:rsidRDefault="00706B99" w:rsidP="00EA0357">
      <w:pPr>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 xml:space="preserve">A combination of formative and summative assessments, including group tasks, quizzes, assignments, discussions, and </w:t>
      </w:r>
      <w:proofErr w:type="gramStart"/>
      <w:r w:rsidRPr="00287C34">
        <w:rPr>
          <w:rFonts w:ascii="Times New Roman" w:hAnsi="Times New Roman" w:cs="Times New Roman"/>
          <w:sz w:val="24"/>
          <w:szCs w:val="24"/>
        </w:rPr>
        <w:t>examination</w:t>
      </w:r>
      <w:proofErr w:type="gramEnd"/>
      <w:r w:rsidRPr="00287C34">
        <w:rPr>
          <w:rFonts w:ascii="Times New Roman" w:hAnsi="Times New Roman" w:cs="Times New Roman"/>
          <w:sz w:val="24"/>
          <w:szCs w:val="24"/>
        </w:rPr>
        <w:t>, will be used.</w:t>
      </w:r>
    </w:p>
    <w:tbl>
      <w:tblPr>
        <w:tblStyle w:val="TableGrid"/>
        <w:tblW w:w="0" w:type="auto"/>
        <w:jc w:val="center"/>
        <w:tblLook w:val="04A0" w:firstRow="1" w:lastRow="0" w:firstColumn="1" w:lastColumn="0" w:noHBand="0" w:noVBand="1"/>
      </w:tblPr>
      <w:tblGrid>
        <w:gridCol w:w="3360"/>
        <w:gridCol w:w="3360"/>
        <w:gridCol w:w="3360"/>
      </w:tblGrid>
      <w:tr w:rsidR="00D04E28" w:rsidRPr="00287C34" w14:paraId="7856F29A" w14:textId="77777777">
        <w:trPr>
          <w:jc w:val="center"/>
        </w:trPr>
        <w:tc>
          <w:tcPr>
            <w:tcW w:w="3360" w:type="dxa"/>
            <w:shd w:val="clear" w:color="auto" w:fill="1F4E79"/>
          </w:tcPr>
          <w:p w14:paraId="208325C0"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Assessment Component</w:t>
            </w:r>
          </w:p>
        </w:tc>
        <w:tc>
          <w:tcPr>
            <w:tcW w:w="3360" w:type="dxa"/>
            <w:shd w:val="clear" w:color="auto" w:fill="1F4E79"/>
          </w:tcPr>
          <w:p w14:paraId="624BF251"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Timing</w:t>
            </w:r>
          </w:p>
        </w:tc>
        <w:tc>
          <w:tcPr>
            <w:tcW w:w="3360" w:type="dxa"/>
            <w:shd w:val="clear" w:color="auto" w:fill="1F4E79"/>
          </w:tcPr>
          <w:p w14:paraId="169BF6C7"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Weight</w:t>
            </w:r>
          </w:p>
        </w:tc>
      </w:tr>
      <w:tr w:rsidR="00D04E28" w:rsidRPr="00287C34" w14:paraId="486F1897" w14:textId="77777777">
        <w:trPr>
          <w:jc w:val="center"/>
        </w:trPr>
        <w:tc>
          <w:tcPr>
            <w:tcW w:w="3360" w:type="dxa"/>
          </w:tcPr>
          <w:p w14:paraId="3AA5F4A2"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End of semester examination</w:t>
            </w:r>
          </w:p>
        </w:tc>
        <w:tc>
          <w:tcPr>
            <w:tcW w:w="3360" w:type="dxa"/>
          </w:tcPr>
          <w:p w14:paraId="0BA6B9E8"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End of semester</w:t>
            </w:r>
          </w:p>
        </w:tc>
        <w:tc>
          <w:tcPr>
            <w:tcW w:w="3360" w:type="dxa"/>
          </w:tcPr>
          <w:p w14:paraId="16369E99"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60 percent</w:t>
            </w:r>
          </w:p>
        </w:tc>
      </w:tr>
      <w:tr w:rsidR="00D04E28" w:rsidRPr="00287C34" w14:paraId="4F34F74A" w14:textId="77777777">
        <w:trPr>
          <w:jc w:val="center"/>
        </w:trPr>
        <w:tc>
          <w:tcPr>
            <w:tcW w:w="3360" w:type="dxa"/>
          </w:tcPr>
          <w:p w14:paraId="690F3DD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Assignment 1: Case study analysis</w:t>
            </w:r>
          </w:p>
        </w:tc>
        <w:tc>
          <w:tcPr>
            <w:tcW w:w="3360" w:type="dxa"/>
          </w:tcPr>
          <w:p w14:paraId="08C4F512"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Due Week 5</w:t>
            </w:r>
          </w:p>
        </w:tc>
        <w:tc>
          <w:tcPr>
            <w:tcW w:w="3360" w:type="dxa"/>
          </w:tcPr>
          <w:p w14:paraId="06FA6658"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10 percent</w:t>
            </w:r>
          </w:p>
        </w:tc>
      </w:tr>
      <w:tr w:rsidR="00D04E28" w:rsidRPr="00287C34" w14:paraId="33F3E98D" w14:textId="77777777">
        <w:trPr>
          <w:jc w:val="center"/>
        </w:trPr>
        <w:tc>
          <w:tcPr>
            <w:tcW w:w="3360" w:type="dxa"/>
          </w:tcPr>
          <w:p w14:paraId="3DFFAA00"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Assignment 2: Group project on capital market development</w:t>
            </w:r>
          </w:p>
        </w:tc>
        <w:tc>
          <w:tcPr>
            <w:tcW w:w="3360" w:type="dxa"/>
          </w:tcPr>
          <w:p w14:paraId="14298CD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Due Week 8</w:t>
            </w:r>
          </w:p>
        </w:tc>
        <w:tc>
          <w:tcPr>
            <w:tcW w:w="3360" w:type="dxa"/>
          </w:tcPr>
          <w:p w14:paraId="190D72A5"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10 percent</w:t>
            </w:r>
          </w:p>
        </w:tc>
      </w:tr>
      <w:tr w:rsidR="00D04E28" w:rsidRPr="00287C34" w14:paraId="14FED15A" w14:textId="77777777">
        <w:trPr>
          <w:jc w:val="center"/>
        </w:trPr>
        <w:tc>
          <w:tcPr>
            <w:tcW w:w="3360" w:type="dxa"/>
          </w:tcPr>
          <w:p w14:paraId="2F53963F"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Quiz: Financial instruments, capital markets, and interest rate structures</w:t>
            </w:r>
          </w:p>
        </w:tc>
        <w:tc>
          <w:tcPr>
            <w:tcW w:w="3360" w:type="dxa"/>
          </w:tcPr>
          <w:p w14:paraId="34B7C86D"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Week 7</w:t>
            </w:r>
          </w:p>
        </w:tc>
        <w:tc>
          <w:tcPr>
            <w:tcW w:w="3360" w:type="dxa"/>
          </w:tcPr>
          <w:p w14:paraId="0990D9C3"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20 percent</w:t>
            </w:r>
          </w:p>
        </w:tc>
      </w:tr>
    </w:tbl>
    <w:p w14:paraId="0EB2366D"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Grading Scale</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D04E28" w:rsidRPr="00287C34" w14:paraId="3EA4DF60" w14:textId="77777777">
        <w:trPr>
          <w:jc w:val="center"/>
        </w:trPr>
        <w:tc>
          <w:tcPr>
            <w:tcW w:w="1260" w:type="dxa"/>
            <w:shd w:val="clear" w:color="auto" w:fill="D6E4F0"/>
          </w:tcPr>
          <w:p w14:paraId="65DEA712"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A</w:t>
            </w:r>
          </w:p>
        </w:tc>
        <w:tc>
          <w:tcPr>
            <w:tcW w:w="1260" w:type="dxa"/>
            <w:shd w:val="clear" w:color="auto" w:fill="D6E4F0"/>
          </w:tcPr>
          <w:p w14:paraId="29BC5593"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B+</w:t>
            </w:r>
          </w:p>
        </w:tc>
        <w:tc>
          <w:tcPr>
            <w:tcW w:w="1260" w:type="dxa"/>
            <w:shd w:val="clear" w:color="auto" w:fill="D6E4F0"/>
          </w:tcPr>
          <w:p w14:paraId="392BC1C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B</w:t>
            </w:r>
          </w:p>
        </w:tc>
        <w:tc>
          <w:tcPr>
            <w:tcW w:w="1260" w:type="dxa"/>
            <w:shd w:val="clear" w:color="auto" w:fill="D6E4F0"/>
          </w:tcPr>
          <w:p w14:paraId="5EB656F8"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C+</w:t>
            </w:r>
          </w:p>
        </w:tc>
        <w:tc>
          <w:tcPr>
            <w:tcW w:w="1260" w:type="dxa"/>
            <w:shd w:val="clear" w:color="auto" w:fill="D6E4F0"/>
          </w:tcPr>
          <w:p w14:paraId="14335A36"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C</w:t>
            </w:r>
          </w:p>
        </w:tc>
        <w:tc>
          <w:tcPr>
            <w:tcW w:w="1260" w:type="dxa"/>
            <w:shd w:val="clear" w:color="auto" w:fill="D6E4F0"/>
          </w:tcPr>
          <w:p w14:paraId="11189599"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D+</w:t>
            </w:r>
          </w:p>
        </w:tc>
        <w:tc>
          <w:tcPr>
            <w:tcW w:w="1260" w:type="dxa"/>
            <w:shd w:val="clear" w:color="auto" w:fill="D6E4F0"/>
          </w:tcPr>
          <w:p w14:paraId="772FC919"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D</w:t>
            </w:r>
          </w:p>
        </w:tc>
        <w:tc>
          <w:tcPr>
            <w:tcW w:w="1260" w:type="dxa"/>
            <w:shd w:val="clear" w:color="auto" w:fill="D6E4F0"/>
          </w:tcPr>
          <w:p w14:paraId="7F42BEF6"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E</w:t>
            </w:r>
          </w:p>
        </w:tc>
      </w:tr>
      <w:tr w:rsidR="00D04E28" w:rsidRPr="00287C34" w14:paraId="56C8FB7E" w14:textId="77777777">
        <w:trPr>
          <w:jc w:val="center"/>
        </w:trPr>
        <w:tc>
          <w:tcPr>
            <w:tcW w:w="1260" w:type="dxa"/>
          </w:tcPr>
          <w:p w14:paraId="561A3107"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80 to 100</w:t>
            </w:r>
          </w:p>
        </w:tc>
        <w:tc>
          <w:tcPr>
            <w:tcW w:w="1260" w:type="dxa"/>
          </w:tcPr>
          <w:p w14:paraId="45D7BA80"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75 to 79</w:t>
            </w:r>
          </w:p>
        </w:tc>
        <w:tc>
          <w:tcPr>
            <w:tcW w:w="1260" w:type="dxa"/>
          </w:tcPr>
          <w:p w14:paraId="001A9BFE"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70 to 74</w:t>
            </w:r>
          </w:p>
        </w:tc>
        <w:tc>
          <w:tcPr>
            <w:tcW w:w="1260" w:type="dxa"/>
          </w:tcPr>
          <w:p w14:paraId="17DF0A6F"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65 to 69</w:t>
            </w:r>
          </w:p>
        </w:tc>
        <w:tc>
          <w:tcPr>
            <w:tcW w:w="1260" w:type="dxa"/>
          </w:tcPr>
          <w:p w14:paraId="62A00FC7"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60 to 64</w:t>
            </w:r>
          </w:p>
        </w:tc>
        <w:tc>
          <w:tcPr>
            <w:tcW w:w="1260" w:type="dxa"/>
          </w:tcPr>
          <w:p w14:paraId="318A2A21"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55 to 59</w:t>
            </w:r>
          </w:p>
        </w:tc>
        <w:tc>
          <w:tcPr>
            <w:tcW w:w="1260" w:type="dxa"/>
          </w:tcPr>
          <w:p w14:paraId="1C7F0211"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50 to 54</w:t>
            </w:r>
          </w:p>
        </w:tc>
        <w:tc>
          <w:tcPr>
            <w:tcW w:w="1260" w:type="dxa"/>
          </w:tcPr>
          <w:p w14:paraId="4F7F03FE"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Below 50</w:t>
            </w:r>
          </w:p>
        </w:tc>
      </w:tr>
    </w:tbl>
    <w:p w14:paraId="7764F0E7" w14:textId="77777777" w:rsidR="00D04E28" w:rsidRPr="00287C34" w:rsidRDefault="00706B99" w:rsidP="00EA0357">
      <w:pPr>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Class participation may be considered for borderline cases.</w:t>
      </w:r>
    </w:p>
    <w:p w14:paraId="767ACFD7" w14:textId="77777777" w:rsidR="00D04E28" w:rsidRPr="00287C34" w:rsidRDefault="00706B99" w:rsidP="00EA0357">
      <w:pPr>
        <w:pStyle w:val="Heading1"/>
        <w:spacing w:line="240" w:lineRule="auto"/>
        <w:jc w:val="both"/>
        <w:rPr>
          <w:rFonts w:ascii="Times New Roman" w:hAnsi="Times New Roman" w:cs="Times New Roman"/>
          <w:sz w:val="24"/>
          <w:szCs w:val="24"/>
        </w:rPr>
      </w:pPr>
      <w:r w:rsidRPr="00287C34">
        <w:rPr>
          <w:rFonts w:ascii="Times New Roman" w:hAnsi="Times New Roman" w:cs="Times New Roman"/>
          <w:sz w:val="24"/>
          <w:szCs w:val="24"/>
        </w:rPr>
        <w:t>Course Policy</w:t>
      </w:r>
    </w:p>
    <w:tbl>
      <w:tblPr>
        <w:tblStyle w:val="TableGrid"/>
        <w:tblW w:w="0" w:type="auto"/>
        <w:jc w:val="center"/>
        <w:tblLook w:val="04A0" w:firstRow="1" w:lastRow="0" w:firstColumn="1" w:lastColumn="0" w:noHBand="0" w:noVBand="1"/>
      </w:tblPr>
      <w:tblGrid>
        <w:gridCol w:w="1782"/>
        <w:gridCol w:w="8514"/>
      </w:tblGrid>
      <w:tr w:rsidR="00D04E28" w:rsidRPr="00287C34" w14:paraId="17936286" w14:textId="77777777" w:rsidTr="0075661D">
        <w:trPr>
          <w:jc w:val="center"/>
        </w:trPr>
        <w:tc>
          <w:tcPr>
            <w:tcW w:w="0" w:type="auto"/>
            <w:shd w:val="clear" w:color="auto" w:fill="1F4E79"/>
          </w:tcPr>
          <w:p w14:paraId="60846A1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Policy Area</w:t>
            </w:r>
          </w:p>
        </w:tc>
        <w:tc>
          <w:tcPr>
            <w:tcW w:w="0" w:type="auto"/>
            <w:shd w:val="clear" w:color="auto" w:fill="1F4E79"/>
          </w:tcPr>
          <w:p w14:paraId="52E78984"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color w:val="FFFFFF"/>
                <w:sz w:val="24"/>
                <w:szCs w:val="24"/>
              </w:rPr>
              <w:t>Requirement</w:t>
            </w:r>
          </w:p>
        </w:tc>
      </w:tr>
      <w:tr w:rsidR="00D04E28" w:rsidRPr="00287C34" w14:paraId="75AFFA01" w14:textId="77777777" w:rsidTr="0075661D">
        <w:trPr>
          <w:jc w:val="center"/>
        </w:trPr>
        <w:tc>
          <w:tcPr>
            <w:tcW w:w="0" w:type="auto"/>
            <w:shd w:val="clear" w:color="auto" w:fill="FFF3CD"/>
          </w:tcPr>
          <w:p w14:paraId="0C3772CB"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Attendance</w:t>
            </w:r>
          </w:p>
        </w:tc>
        <w:tc>
          <w:tcPr>
            <w:tcW w:w="0" w:type="auto"/>
          </w:tcPr>
          <w:p w14:paraId="463B8D7E"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Full attendance is required. Attendance at all sessions is compulsory. Under University regulations, any absenteeism must be supported by the appropriate report.</w:t>
            </w:r>
          </w:p>
        </w:tc>
      </w:tr>
      <w:tr w:rsidR="00D04E28" w:rsidRPr="00287C34" w14:paraId="009AF916" w14:textId="77777777" w:rsidTr="0075661D">
        <w:trPr>
          <w:jc w:val="center"/>
        </w:trPr>
        <w:tc>
          <w:tcPr>
            <w:tcW w:w="0" w:type="auto"/>
            <w:shd w:val="clear" w:color="auto" w:fill="FFF3CD"/>
          </w:tcPr>
          <w:p w14:paraId="7B16F364"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Code of Conduct</w:t>
            </w:r>
          </w:p>
        </w:tc>
        <w:tc>
          <w:tcPr>
            <w:tcW w:w="0" w:type="auto"/>
          </w:tcPr>
          <w:p w14:paraId="3A844D6C"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Students are expected to be punctual at all sessions and conduct themselves in a professional manner. Mobile phones must be switched to silent mode during lectures.</w:t>
            </w:r>
          </w:p>
        </w:tc>
      </w:tr>
      <w:tr w:rsidR="00D04E28" w:rsidRPr="00287C34" w14:paraId="00B6911C" w14:textId="77777777" w:rsidTr="0075661D">
        <w:trPr>
          <w:jc w:val="center"/>
        </w:trPr>
        <w:tc>
          <w:tcPr>
            <w:tcW w:w="0" w:type="auto"/>
            <w:shd w:val="clear" w:color="auto" w:fill="FFF3CD"/>
          </w:tcPr>
          <w:p w14:paraId="54527418"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Cheating and Plagiarism</w:t>
            </w:r>
          </w:p>
        </w:tc>
        <w:tc>
          <w:tcPr>
            <w:tcW w:w="0" w:type="auto"/>
          </w:tcPr>
          <w:p w14:paraId="7A3C91E9"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Cheating and plagiarism of any kind will not be tolerated and will attract the appropriate sanctions as stipulated in the students' handbook.</w:t>
            </w:r>
          </w:p>
        </w:tc>
      </w:tr>
      <w:tr w:rsidR="00D04E28" w:rsidRPr="00287C34" w14:paraId="19ACFE06" w14:textId="77777777" w:rsidTr="0075661D">
        <w:trPr>
          <w:jc w:val="center"/>
        </w:trPr>
        <w:tc>
          <w:tcPr>
            <w:tcW w:w="0" w:type="auto"/>
            <w:shd w:val="clear" w:color="auto" w:fill="FFF3CD"/>
          </w:tcPr>
          <w:p w14:paraId="76E97D37"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Assignment Submission</w:t>
            </w:r>
          </w:p>
        </w:tc>
        <w:tc>
          <w:tcPr>
            <w:tcW w:w="0" w:type="auto"/>
          </w:tcPr>
          <w:p w14:paraId="7675A0F6"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All work must be submitted by the stated deadline. Students will not be permitted to write make up quizzes or submit assignments late, except for documented medical or compassionate reasons. Failure to take an assessment without express permission will lead to the award of zero for that assessment.</w:t>
            </w:r>
          </w:p>
        </w:tc>
      </w:tr>
      <w:tr w:rsidR="00D04E28" w:rsidRPr="00287C34" w14:paraId="560E8A8F" w14:textId="77777777" w:rsidTr="0075661D">
        <w:trPr>
          <w:jc w:val="center"/>
        </w:trPr>
        <w:tc>
          <w:tcPr>
            <w:tcW w:w="0" w:type="auto"/>
            <w:shd w:val="clear" w:color="auto" w:fill="FFF3CD"/>
          </w:tcPr>
          <w:p w14:paraId="1C99DB03"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b/>
                <w:sz w:val="24"/>
                <w:szCs w:val="24"/>
              </w:rPr>
              <w:t>Referencing</w:t>
            </w:r>
          </w:p>
        </w:tc>
        <w:tc>
          <w:tcPr>
            <w:tcW w:w="0" w:type="auto"/>
          </w:tcPr>
          <w:p w14:paraId="5573C9B8" w14:textId="77777777" w:rsidR="00D04E28" w:rsidRPr="00287C34" w:rsidRDefault="00706B99" w:rsidP="00EA0357">
            <w:pPr>
              <w:jc w:val="both"/>
              <w:rPr>
                <w:rFonts w:ascii="Times New Roman" w:hAnsi="Times New Roman" w:cs="Times New Roman"/>
                <w:sz w:val="24"/>
                <w:szCs w:val="24"/>
              </w:rPr>
            </w:pPr>
            <w:r w:rsidRPr="00287C34">
              <w:rPr>
                <w:rFonts w:ascii="Times New Roman" w:hAnsi="Times New Roman" w:cs="Times New Roman"/>
                <w:sz w:val="24"/>
                <w:szCs w:val="24"/>
              </w:rPr>
              <w:t>Students must use APA referencing style in essays and project write ups, consistent with the University's thesis and dissertation guide.</w:t>
            </w:r>
          </w:p>
        </w:tc>
      </w:tr>
    </w:tbl>
    <w:p w14:paraId="50FC55FA" w14:textId="3049FCAD" w:rsidR="00D04E28" w:rsidRPr="00287C34" w:rsidRDefault="00D04E28" w:rsidP="00EA0357">
      <w:pPr>
        <w:spacing w:line="240" w:lineRule="auto"/>
        <w:jc w:val="both"/>
        <w:rPr>
          <w:rFonts w:ascii="Times New Roman" w:hAnsi="Times New Roman" w:cs="Times New Roman"/>
          <w:sz w:val="24"/>
          <w:szCs w:val="24"/>
        </w:rPr>
      </w:pPr>
    </w:p>
    <w:sectPr w:rsidR="00D04E28" w:rsidRPr="00287C34"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C5D2" w14:textId="77777777" w:rsidR="00706B99" w:rsidRDefault="00706B99">
      <w:pPr>
        <w:spacing w:after="0" w:line="240" w:lineRule="auto"/>
      </w:pPr>
      <w:r>
        <w:separator/>
      </w:r>
    </w:p>
  </w:endnote>
  <w:endnote w:type="continuationSeparator" w:id="0">
    <w:p w14:paraId="40F8DC66" w14:textId="77777777" w:rsidR="00706B99" w:rsidRDefault="00706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55BE" w14:textId="77777777" w:rsidR="00D04E28" w:rsidRDefault="00706B99">
    <w:pPr>
      <w:pStyle w:val="Footer"/>
      <w:jc w:val="center"/>
    </w:pPr>
    <w:r>
      <w:rPr>
        <w:color w:val="505050"/>
        <w:sz w:val="16"/>
      </w:rPr>
      <w:t>ECO 324 Economics of Capital Markets | 2025/2026 Academic Year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D2E1" w14:textId="77777777" w:rsidR="00706B99" w:rsidRDefault="00706B99">
      <w:pPr>
        <w:spacing w:after="0" w:line="240" w:lineRule="auto"/>
      </w:pPr>
      <w:r>
        <w:separator/>
      </w:r>
    </w:p>
  </w:footnote>
  <w:footnote w:type="continuationSeparator" w:id="0">
    <w:p w14:paraId="5F24F70B" w14:textId="77777777" w:rsidR="00706B99" w:rsidRDefault="00706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5E97" w14:textId="77777777" w:rsidR="00D04E28" w:rsidRDefault="00706B99">
    <w:pPr>
      <w:pStyle w:val="Header"/>
      <w:jc w:val="center"/>
    </w:pPr>
    <w:r>
      <w:rPr>
        <w:b/>
        <w:color w:val="1F4E79"/>
        <w:sz w:val="18"/>
      </w:rPr>
      <w:t>University of Cape Coast | Department of Economic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493911">
    <w:abstractNumId w:val="8"/>
  </w:num>
  <w:num w:numId="2" w16cid:durableId="1011252952">
    <w:abstractNumId w:val="6"/>
  </w:num>
  <w:num w:numId="3" w16cid:durableId="75831552">
    <w:abstractNumId w:val="5"/>
  </w:num>
  <w:num w:numId="4" w16cid:durableId="1524857973">
    <w:abstractNumId w:val="4"/>
  </w:num>
  <w:num w:numId="5" w16cid:durableId="1994409619">
    <w:abstractNumId w:val="7"/>
  </w:num>
  <w:num w:numId="6" w16cid:durableId="1471899995">
    <w:abstractNumId w:val="3"/>
  </w:num>
  <w:num w:numId="7" w16cid:durableId="690959620">
    <w:abstractNumId w:val="2"/>
  </w:num>
  <w:num w:numId="8" w16cid:durableId="1289624722">
    <w:abstractNumId w:val="1"/>
  </w:num>
  <w:num w:numId="9" w16cid:durableId="12670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C34"/>
    <w:rsid w:val="0029639D"/>
    <w:rsid w:val="00326F90"/>
    <w:rsid w:val="00546A51"/>
    <w:rsid w:val="00706B99"/>
    <w:rsid w:val="0075661D"/>
    <w:rsid w:val="00844A29"/>
    <w:rsid w:val="00A0161C"/>
    <w:rsid w:val="00AA1D8D"/>
    <w:rsid w:val="00B47730"/>
    <w:rsid w:val="00B75F46"/>
    <w:rsid w:val="00CB0664"/>
    <w:rsid w:val="00D04E28"/>
    <w:rsid w:val="00E11E26"/>
    <w:rsid w:val="00EA0357"/>
    <w:rsid w:val="00FC44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D45F20-3E67-49E4-ABEC-20F63886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education.com/highered/product/investments-bodie-kane/M9781260772166.html" TargetMode="External"/><Relationship Id="rId13" Type="http://schemas.openxmlformats.org/officeDocument/2006/relationships/hyperlink" Target="https://gse.com.g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og.gov.gh/"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116848"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norton.com/books/A-Random-Walk-Down-Wall-Street/" TargetMode="External"/><Relationship Id="rId4" Type="http://schemas.openxmlformats.org/officeDocument/2006/relationships/settings" Target="settings.xml"/><Relationship Id="rId9" Type="http://schemas.openxmlformats.org/officeDocument/2006/relationships/hyperlink" Target="https://www.journals.uchicago.edu/doi/10.1086/26006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1068</Words>
  <Characters>6156</Characters>
  <Application>Microsoft Office Word</Application>
  <DocSecurity>0</DocSecurity>
  <Lines>130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Collins Baffour Kyei</cp:lastModifiedBy>
  <cp:revision>9</cp:revision>
  <dcterms:created xsi:type="dcterms:W3CDTF">2013-12-23T23:15:00Z</dcterms:created>
  <dcterms:modified xsi:type="dcterms:W3CDTF">2026-05-04T07:45:00Z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193331f5-a2c7-4889-b2c2-018715001bdc</vt:lpwstr>
  </property>
</Properties>
</file>