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白蕉水产养殖管理平台系统框架与时序图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软件实训作业二    组别：________    组员：________________________    版本 1.1</w:t>
      </w:r>
    </w:p>
    <w:p>
      <w:pPr>
        <w:pStyle w:val="Heading1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1 系统组成与数据交互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平台通过采集控制终端连接鱼塘设备，由后端统一组织数据查询、模型调用和投喂任务。图1展示模块连接；图2、图3分别说明喂养指令传递，以及温度数据如何参与投喂决策。</w:t>
      </w:r>
    </w:p>
    <w:p>
      <w:pPr>
        <w:spacing w:after="40" w:line="240" w:lineRule="auto"/>
        <w:jc w:val="center"/>
      </w:pPr>
      <w:r>
        <w:rPr>
          <w:rFonts w:ascii="Times New Roman" w:hAnsi="Times New Roman" w:cs="Times New Roman" w:eastAsia="SimSun"/>
          <w:color w:val="000000"/>
          <w:lang w:val="zh-CN" w:eastAsia="zh-CN"/>
        </w:rPr>
        <w:drawing>
          <wp:inline xmlns:a="http://schemas.openxmlformats.org/drawingml/2006/main" xmlns:pic="http://schemas.openxmlformats.org/drawingml/2006/picture">
            <wp:extent cx="9360000" cy="3900000"/>
            <wp:docPr id="1" name="Picture 1" descr="图1 系统总览，消息内容另见正文与接口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 系统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SimSun"/>
          <w:color w:val="000000"/>
          <w:lang w:val="zh-CN" w:eastAsia="zh-CN"/>
        </w:rPr>
        <w:t>图1 系统总览。箭头表示主要数据方向；双端均通过后端查询与操作，数据库访问由后端组织。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相机图像经采集端提供给视觉模块，识别结果由后端关联鱼塘并保存，双端查看画面或事件。模型模块接收后端提供的数据并返回计算结果；设备控制仍经采集端执行。通信消息的主要内容见第3节。</w:t>
      </w:r>
    </w:p>
    <w:p>
      <w:pPr>
        <w:pStyle w:val="Heading1"/>
        <w:pageBreakBefore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2 投喂指令传递时序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养殖员可从 Web 看板或小程序任一入口操作，两端使用同一套任务记录。图中合并表示这两个入口；实线为请求或上报，虚线为响应，纵向从上到下表示先后顺序。</w:t>
      </w:r>
    </w:p>
    <w:p>
      <w:pPr>
        <w:spacing w:after="40" w:line="240" w:lineRule="auto"/>
        <w:jc w:val="center"/>
      </w:pPr>
      <w:r>
        <w:rPr>
          <w:rFonts w:ascii="Times New Roman" w:hAnsi="Times New Roman" w:cs="Times New Roman" w:eastAsia="SimSun"/>
          <w:color w:val="000000"/>
          <w:lang w:val="zh-CN" w:eastAsia="zh-CN"/>
        </w:rPr>
        <w:drawing>
          <wp:inline xmlns:a="http://schemas.openxmlformats.org/drawingml/2006/main" xmlns:pic="http://schemas.openxmlformats.org/drawingml/2006/picture">
            <wp:extent cx="9252000" cy="5499799"/>
            <wp:docPr id="2" name="Picture 2" descr="图2 投喂指令时序，消息内容另见正文与接口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 投喂指令时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49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SimSun"/>
          <w:color w:val="000000"/>
          <w:lang w:val="zh-CN" w:eastAsia="zh-CN"/>
        </w:rPr>
        <w:t>图2 投喂指令时序。后端或终端校验拒绝时返回原因并结束，不进入执行；9a与9b为互斥分支。</w:t>
      </w:r>
    </w:p>
    <w:p>
      <w:pPr>
        <w:pStyle w:val="Heading1"/>
        <w:pageBreakBefore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3 投喂消息与异常处理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551"/>
        <w:gridCol w:w="2381"/>
        <w:gridCol w:w="8844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消息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发送方与接收方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触发条件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主要内容及处理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终端注册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采集端 → 后端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首次接入或重新连接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终端编号、鱼塘及设备清单；验证身份，维护同一终端的连接状态。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投喂请求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双端 → 后端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用户确认有效建议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请求编号、建议编号、鱼塘、设备、确认量、单位及修改原因；后端取得登录身份并校验权限。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任务保存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后端 → 数据库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请求通过校验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唯一任务编号、请求与建议关联、操作者、确认量及时间；持久化成功后才下发。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任务下发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后端 → 采集端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任务保存成功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任务编号、设备、确认量、单位；终端核对目标与重复任务，同一设备不并行接收另一投喂任务。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接收回执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采集端 → 后端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终端完成校验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任务编号、接收或拒绝状态、原因和时间；接收不等于完成投料。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执行回执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采集端 → 后端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设备状态变化或结束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任务编号、执行状态、起止时间、故障及可取得的实际量；未知实际量保持未获取。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状态查询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双端 → 后端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等待结果或恢复连接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任务编号；未取得任务编号时凭原请求编号找回，返回状态、已知结果和异常。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停止请求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双端 → 后端 → 采集端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授权用户请求停止</w:t>
            </w:r>
          </w:p>
        </w:tc>
        <w:tc>
          <w:tcPr>
            <w:tcW w:type="dxa" w:w="884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原任务编号与请求编号；支持停止的设备执行后回报，后端据回执记录已停止。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校验与去重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后端在创建任务前校验鱼塘权限、建议期限、数量单位、设备状态及已有任务，并对相同请求编号返回原任务。任务保存与设备占用应一致；终端按任务编号去重，重连或重启后仍需能够识别已接收的任务。</w:t>
      </w:r>
    </w:p>
    <w:p>
      <w:pPr>
        <w:pStyle w:val="Heading2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超时与恢复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回执超时后，原任务标为待核查并保留设备占用。养殖员可提供现场证据，具备核查权限的管理员依据终端记录和现场情况，登记已完成、已停止、失败或未执行的结论及依据；仍不明时保持待核查。实际量未知时保留未获取。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核查结束，且确认终端无该任务执行、旧指令不会继续执行、设备可用后，才解除占用。再次投喂需重新确认有效建议并创建新任务。迟到回执关联原任务，重复回执不重复累计用料；与核查结论冲突时保留证据并再次核对。</w:t>
      </w:r>
    </w:p>
    <w:p>
      <w:pPr>
        <w:pStyle w:val="Heading2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停止与故障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卡料等已报告故障保存为失败及相应异常；停止请求只有在收到设备确认后才显示已停止。设备不支持远程停止或结果仍不明时，页面提示现场处理，并保留已知投料信息。</w:t>
      </w:r>
    </w:p>
    <w:p>
      <w:pPr>
        <w:pStyle w:val="Heading1"/>
        <w:pageBreakBefore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4 温度数据影响投喂时序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温度先形成可追溯的测量记录，再与所需时段曲线及其他输入共同参与计算。具体窗口、阈值和算法由规则配置定义；有效建议经人工确认后进入图2的执行过程。</w:t>
      </w:r>
    </w:p>
    <w:p>
      <w:pPr>
        <w:spacing w:after="40" w:line="240" w:lineRule="auto"/>
        <w:jc w:val="center"/>
      </w:pPr>
      <w:r>
        <w:rPr>
          <w:rFonts w:ascii="Times New Roman" w:hAnsi="Times New Roman" w:cs="Times New Roman" w:eastAsia="SimSun"/>
          <w:color w:val="000000"/>
          <w:lang w:val="zh-CN" w:eastAsia="zh-CN"/>
        </w:rPr>
        <w:drawing>
          <wp:inline xmlns:a="http://schemas.openxmlformats.org/drawingml/2006/main" xmlns:pic="http://schemas.openxmlformats.org/drawingml/2006/picture">
            <wp:extent cx="9252000" cy="5499799"/>
            <wp:docPr id="3" name="Picture 3" descr="图3 温度影响投喂时序，消息内容另见正文与接口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 温度影响投喂时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49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SimSun"/>
          <w:color w:val="000000"/>
          <w:lang w:val="zh-CN" w:eastAsia="zh-CN"/>
        </w:rPr>
        <w:t>图3 温度参与决策的时序。图中的规则模型表示已配置的规则或模型服务，不预设某个养殖公式。</w:t>
      </w:r>
    </w:p>
    <w:p>
      <w:pPr>
        <w:pStyle w:val="Heading1"/>
        <w:pageBreakBefore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5 数据约定与设计范围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6633"/>
        <w:gridCol w:w="6973"/>
      </w:tblGrid>
      <w:tr>
        <w:trPr>
          <w:cantSplit/>
          <w:tblHeader/>
        </w:trPr>
        <w:tc>
          <w:tcPr>
            <w:tcW w:type="dxa" w:w="15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数据对象</w:t>
            </w:r>
          </w:p>
        </w:tc>
        <w:tc>
          <w:tcPr>
            <w:tcW w:type="dxa" w:w="663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应明确的信息</w:t>
            </w:r>
          </w:p>
        </w:tc>
        <w:tc>
          <w:tcPr>
            <w:tcW w:type="dxa" w:w="697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使用约定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环境测量</w:t>
            </w:r>
          </w:p>
        </w:tc>
        <w:tc>
          <w:tcPr>
            <w:tcW w:type="dxa" w:w="663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鱼塘、设备、采集时间、接收时间、指标、值、单位、来源、有效性</w:t>
            </w:r>
          </w:p>
        </w:tc>
        <w:tc>
          <w:tcPr>
            <w:tcW w:type="dxa" w:w="697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保留原始记录；无效值不进入建议输入；断线补传保留原采集时间。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特征输入</w:t>
            </w:r>
          </w:p>
        </w:tc>
        <w:tc>
          <w:tcPr>
            <w:tcW w:type="dxa" w:w="663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时间窗口、有效样本数、缺测比例或情况、处理方法及批次</w:t>
            </w:r>
          </w:p>
        </w:tc>
        <w:tc>
          <w:tcPr>
            <w:tcW w:type="dxa" w:w="697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依据模型要求整理最低值、最高值、均值或变化特征；不能用即时值代替全天变化。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建议输出</w:t>
            </w:r>
          </w:p>
        </w:tc>
        <w:tc>
          <w:tcPr>
            <w:tcW w:type="dxa" w:w="663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建议编号、鱼塘、建议量、单位、版本、输入依据、生成时间及有效期</w:t>
            </w:r>
          </w:p>
        </w:tc>
        <w:tc>
          <w:tcPr>
            <w:tcW w:type="dxa" w:w="697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计算失败返回原因，不以零投喂量冒充失败结果；用户提交时再次校验有效性。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执行结果</w:t>
            </w:r>
          </w:p>
        </w:tc>
        <w:tc>
          <w:tcPr>
            <w:tcW w:type="dxa" w:w="663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任务编号、接收与执行状态、实际量及来源、事件时间、故障</w:t>
            </w:r>
          </w:p>
        </w:tc>
        <w:tc>
          <w:tcPr>
            <w:tcW w:type="dxa" w:w="697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  <w:rFonts w:ascii="Times New Roman" w:hAnsi="Times New Roman" w:cs="Times New Roman" w:eastAsia="SimSun"/>
                <w:color w:val="000000"/>
                <w:lang w:val="zh-CN" w:eastAsia="zh-CN"/>
              </w:rPr>
              <w:t>建议量、确认量和实际量分别保留；未取得的实测量不由确认量补齐。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本次设计范围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本次作业设计覆盖鱼塘与批次、环境查询、人工确认投喂、任务回执与核查、监控与疑似死鱼事件，以及两端共享数据。单塘与多塘图表、养殖计划、称重用药、成本记录和模型服务沿用需求说明书 V1.2；通信图重点展开两条投喂主线，其余功能通过后端的查询、记录与事件接口协作。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交流与排行榜、按计划无人确认投喂、摄食反馈自动联动及自动停止列为后续扩展。实物接入、仿真联调、识别效果和模型训练分别记录验证结论；数据不足时注明接口演示或尚未完成模型测试。</w:t>
      </w:r>
    </w:p>
    <w:p>
      <w:pPr>
        <w:pStyle w:val="Heading2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联调检查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按图2检查正常投喂、重复请求、回执超时、核查恢复、迟到回执、实际量缺失和停止失败；按图3检查有效曲线、无效输入、计算失败及建议过期。已训练模型另按需求说明书第9章检查数据划分、独立测试和基准比较。新温度数据用于展示及后续建议，保留执行中任务。课程 CSV 每天一条，日内曲线和设备回执另行准备并注明仿真来源。</w:t>
      </w:r>
    </w:p>
    <w:p>
      <w:pPr>
        <w:pStyle w:val="Heading2"/>
      </w:pPr>
      <w:r>
        <w:rPr>
          <w:rFonts w:ascii="Times New Roman" w:hAnsi="Times New Roman" w:cs="Times New Roman" w:eastAsia="SimHei"/>
          <w:color w:val="000000"/>
          <w:lang w:val="zh-CN" w:eastAsia="zh-CN"/>
        </w:rPr>
        <w:t>对应依据</w:t>
      </w:r>
    </w:p>
    <w:p>
      <w:r>
        <w:rPr>
          <w:rFonts w:ascii="Times New Roman" w:hAnsi="Times New Roman" w:cs="Times New Roman" w:eastAsia="SimSun"/>
          <w:color w:val="000000"/>
          <w:lang w:val="zh-CN" w:eastAsia="zh-CN"/>
        </w:rPr>
        <w:t>本图与需求说明书 V1.2 的2.2—2.3、5.2—5.4、5.8、5.10、第6—9章对应。课堂依据包括老师模块时序提示词照片、《终端数据采集系统开发》第8—23、38—46页、《后端系统开发》第27—30页及《小程序的开发》第2页。头歌作业二要求展示系统模块与通信，本图据此补充消息和异常分支。</w:t>
      </w:r>
    </w:p>
    <w:sectPr w:rsidR="00FC693F" w:rsidRPr="0006063C" w:rsidSect="00034616">
      <w:footerReference w:type="default" r:id="rId12"/>
      <w:pgSz w:w="16838" w:h="11906"/>
      <w:pgMar w:top="709" w:right="794" w:bottom="680" w:left="794" w:header="72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/>
  <w:font w:name="SimHei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SimSu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SimSu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SimSu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SimSu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SimSun"/>
        <w:sz w:val="22"/>
        <w:szCs w:val="22"/>
        <w:lang w:val="zh-CN" w:eastAsia="zh-CN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SimSun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SimSun"/>
      <w:color w:val="000000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SimSun"/>
      <w:color w:val="000000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76" w:lineRule="auto"/>
      <w:outlineLvl w:val="0"/>
    </w:pPr>
    <w:rPr>
      <w:rFonts w:ascii="Times New Roman" w:hAnsi="Times New Roman" w:cs="Times New Roman" w:eastAsia="SimHei"/>
      <w:b/>
      <w:bCs/>
      <w:color w:val="000000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76" w:lineRule="auto"/>
      <w:outlineLvl w:val="1"/>
    </w:pPr>
    <w:rPr>
      <w:rFonts w:ascii="Times New Roman" w:hAnsi="Times New Roman" w:cs="Times New Roman" w:eastAsia="SimHei"/>
      <w:b/>
      <w:bCs/>
      <w:color w:val="000000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SimHei"/>
      <w:b/>
      <w:bCs/>
      <w:color w:val="000000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SimHei"/>
      <w:b/>
      <w:bCs/>
      <w:i/>
      <w:iCs/>
      <w:color w:val="000000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SimHei"/>
      <w:color w:val="000000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SimHei"/>
      <w:i/>
      <w:iCs/>
      <w:color w:val="000000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SimHei"/>
      <w:i/>
      <w:iCs/>
      <w:color w:val="000000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SimHei"/>
      <w:color w:val="000000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SimHei"/>
      <w:i/>
      <w:iCs/>
      <w:color w:val="000000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SimSun"/>
      <w:color w:val="000000"/>
      <w:lang w:val="zh-CN" w:eastAsia="zh-C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SimSun"/>
      <w:color w:val="000000"/>
      <w:lang w:val="zh-CN" w:eastAsia="zh-CN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SimSun"/>
      <w:color w:val="000000"/>
      <w:lang w:val="zh-CN" w:eastAsia="zh-C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SimHei"/>
      <w:b/>
      <w:bCs/>
      <w:color w:val="000000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SimHei"/>
      <w:b/>
      <w:bCs/>
      <w:color w:val="000000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SimHei"/>
      <w:b/>
      <w:bCs/>
      <w:color w:val="000000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 w:before="0"/>
      <w:contextualSpacing/>
    </w:pPr>
    <w:rPr>
      <w:rFonts w:ascii="Times New Roman" w:hAnsi="Times New Roman" w:cs="Times New Roman" w:eastAsia="SimHei"/>
      <w:color w:val="000000"/>
      <w:spacing w:val="5"/>
      <w:kern w:val="28"/>
      <w:sz w:val="34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SimSun"/>
      <w:color w:val="000000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SimSun"/>
      <w:i/>
      <w:iCs/>
      <w:color w:val="000000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SimSun"/>
      <w:i/>
      <w:iCs/>
      <w:color w:val="000000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SimSun"/>
      <w:color w:val="000000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SimSun"/>
      <w:color w:val="000000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SimSun"/>
      <w:color w:val="000000"/>
      <w:lang w:val="zh-CN"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SimSun"/>
      <w:color w:val="000000"/>
      <w:lang w:val="zh-CN" w:eastAsia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cs="Times New Roman" w:eastAsia="SimSun"/>
      <w:color w:val="000000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Times New Roman" w:hAnsi="Times New Roman" w:cs="Times New Roman" w:eastAsia="SimSun"/>
      <w:color w:val="000000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SimSun"/>
      <w:color w:val="000000"/>
      <w:lang w:val="zh-CN"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SimSun"/>
      <w:sz w:val="20"/>
      <w:szCs w:val="20"/>
      <w:color w:val="00000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SimSun"/>
      <w:sz w:val="20"/>
      <w:szCs w:val="20"/>
      <w:color w:val="00000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  <w:rFonts w:ascii="Times New Roman" w:hAnsi="Times New Roman" w:cs="Times New Roman" w:eastAsia="SimSun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  <w:rFonts w:ascii="Times New Roman" w:hAnsi="Times New Roman" w:cs="Times New Roman" w:eastAsia="SimSun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SimHei"/>
      <w:b/>
      <w:bCs/>
      <w:i/>
      <w:iCs/>
      <w:color w:val="000000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SimHei"/>
      <w:color w:val="000000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SimHei"/>
      <w:i/>
      <w:iCs/>
      <w:color w:val="000000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SimHei"/>
      <w:i/>
      <w:iCs/>
      <w:color w:val="000000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SimHei"/>
      <w:color w:val="000000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SimHei"/>
      <w:i/>
      <w:iCs/>
      <w:color w:val="000000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Times New Roman" w:hAnsi="Times New Roman" w:cs="Times New Roman" w:eastAsia="SimSun"/>
      <w:b w:val="0"/>
      <w:bCs/>
      <w:i w:val="0"/>
      <w:color w:val="000000"/>
      <w:sz w:val="21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Times New Roman" w:hAnsi="Times New Roman" w:cs="Times New Roman" w:eastAsia="SimSun"/>
      <w:color w:val="000000"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Times New Roman" w:hAnsi="Times New Roman" w:cs="Times New Roman" w:eastAsia="SimSun"/>
      <w:color w:val="000000"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  <w:rFonts w:ascii="Times New Roman" w:hAnsi="Times New Roman" w:cs="Times New Roman" w:eastAsia="SimSun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  <w:rFonts w:ascii="Times New Roman" w:hAnsi="Times New Roman" w:cs="Times New Roman" w:eastAsia="SimSun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  <w:rFonts w:ascii="Times New Roman" w:hAnsi="Times New Roman" w:cs="Times New Roman" w:eastAsia="SimSun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  <w:rFonts w:ascii="Times New Roman" w:hAnsi="Times New Roman" w:cs="Times New Roman" w:eastAsia="SimSun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  <w:rFonts w:ascii="Times New Roman" w:hAnsi="Times New Roman" w:cs="Times New Roman" w:eastAsia="SimSun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  <w:rFonts w:ascii="Times New Roman" w:hAnsi="Times New Roman" w:cs="Times New Roman" w:eastAsia="SimSun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cs="Times New Roman" w:eastAsia="SimSun"/>
      <w:color w:val="000000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SimHei"/>
      <w:color w:val="000000"/>
      <w:lang w:val="zh-CN"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SimSun"/>
      <w:color w:val="000000"/>
      <w:lang w:val="zh-CN" w:eastAsia="zh-C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SimSun"/>
      <w:color w:val="000000"/>
      <w:lang w:val="zh-CN" w:eastAsia="zh-C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cs="Times New Roman" w:eastAsia="SimSun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SimSu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SimSu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SimSu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SimSu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SimSu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SimSu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SimSu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SimSu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SimSu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SimSu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cs="Times New Roman" w:eastAsia="SimSu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SimSu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SimSu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SimSu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SimSu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SimSu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SimSu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SimSu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SimSu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SimSu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SimSu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SimSun"/>
        <w:b/>
        <w:bCs/>
      </w:rPr>
    </w:tblStylePr>
    <w:tblStylePr w:type="lastCol">
      <w:rPr>
        <w:rFonts w:ascii="Times New Roman" w:hAnsi="Times New Roman" w:cs="Times New Roman" w:eastAsia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SimSu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SimSu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SimSun"/>
        <a:cs typeface="Times New Roman"/>
        <a:font script="Jpan" typeface="SimSun"/>
        <a:font script="Hang" typeface="SimSun"/>
        <a:font script="Hans" typeface="SimSun"/>
        <a:font script="Hant" typeface="SimSu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SimSun"/>
        <a:cs typeface="Times New Roman"/>
        <a:font script="Jpan" typeface="SimSun"/>
        <a:font script="Hang" typeface="SimSun"/>
        <a:font script="Hans" typeface="SimSun"/>
        <a:font script="Hant" typeface="SimSu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白蕉水产养殖管理平台系统框架与时序图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