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44" w:rsidRPr="00943CEA" w:rsidRDefault="00AF2844" w:rsidP="00AF2844">
      <w:pPr>
        <w:jc w:val="center"/>
        <w:rPr>
          <w:b/>
          <w:lang w:val="en-US"/>
        </w:rPr>
      </w:pPr>
      <w:r w:rsidRPr="00943CEA">
        <w:rPr>
          <w:b/>
          <w:lang w:val="en-US"/>
        </w:rPr>
        <w:t xml:space="preserve">PSBB </w:t>
      </w:r>
      <w:proofErr w:type="spellStart"/>
      <w:r w:rsidRPr="00943CEA">
        <w:rPr>
          <w:b/>
          <w:lang w:val="en-US"/>
        </w:rPr>
        <w:t>Transisi</w:t>
      </w:r>
      <w:proofErr w:type="spellEnd"/>
      <w:r w:rsidRPr="00943CEA">
        <w:rPr>
          <w:b/>
          <w:lang w:val="en-US"/>
        </w:rPr>
        <w:t xml:space="preserve"> </w:t>
      </w:r>
      <w:r w:rsidR="00B35D30">
        <w:rPr>
          <w:b/>
          <w:lang w:val="en-US"/>
        </w:rPr>
        <w:t xml:space="preserve">vs. </w:t>
      </w:r>
      <w:r w:rsidR="00B35D30" w:rsidRPr="00943CEA">
        <w:rPr>
          <w:b/>
          <w:lang w:val="en-US"/>
        </w:rPr>
        <w:t xml:space="preserve">PSBB Total </w:t>
      </w:r>
      <w:proofErr w:type="spellStart"/>
      <w:r w:rsidRPr="00943CEA">
        <w:rPr>
          <w:b/>
          <w:lang w:val="en-US"/>
        </w:rPr>
        <w:t>Ditinjau</w:t>
      </w:r>
      <w:proofErr w:type="spellEnd"/>
      <w:r w:rsidRPr="00943CEA">
        <w:rPr>
          <w:b/>
          <w:lang w:val="en-US"/>
        </w:rPr>
        <w:t xml:space="preserve"> </w:t>
      </w:r>
      <w:proofErr w:type="spellStart"/>
      <w:r w:rsidR="00616DBA">
        <w:rPr>
          <w:b/>
          <w:lang w:val="en-US"/>
        </w:rPr>
        <w:t>dengan</w:t>
      </w:r>
      <w:proofErr w:type="spellEnd"/>
      <w:r w:rsidR="00616DBA">
        <w:rPr>
          <w:b/>
          <w:lang w:val="en-US"/>
        </w:rPr>
        <w:t xml:space="preserve"> </w:t>
      </w:r>
      <w:proofErr w:type="spellStart"/>
      <w:r w:rsidRPr="00943CEA">
        <w:rPr>
          <w:b/>
          <w:lang w:val="en-US"/>
        </w:rPr>
        <w:t>Beberapa</w:t>
      </w:r>
      <w:proofErr w:type="spellEnd"/>
      <w:r w:rsidRPr="00943CEA">
        <w:rPr>
          <w:b/>
          <w:lang w:val="en-US"/>
        </w:rPr>
        <w:t xml:space="preserve"> Model </w:t>
      </w:r>
      <w:proofErr w:type="spellStart"/>
      <w:r w:rsidRPr="00943CEA">
        <w:rPr>
          <w:b/>
          <w:lang w:val="en-US"/>
        </w:rPr>
        <w:t>Kompartemen</w:t>
      </w:r>
      <w:proofErr w:type="spellEnd"/>
    </w:p>
    <w:p w:rsidR="00AF2844" w:rsidRDefault="00AF2844" w:rsidP="00AF2844">
      <w:pPr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percobaan</w:t>
      </w:r>
      <w:proofErr w:type="spellEnd"/>
      <w:r w:rsidR="00943CEA">
        <w:rPr>
          <w:lang w:val="en-US"/>
        </w:rPr>
        <w:t xml:space="preserve"> </w:t>
      </w:r>
      <w:proofErr w:type="spellStart"/>
      <w:r w:rsidR="00943CEA">
        <w:rPr>
          <w:lang w:val="en-US"/>
        </w:rPr>
        <w:t>ini</w:t>
      </w:r>
      <w:proofErr w:type="spellEnd"/>
      <w:r w:rsidR="00943CEA">
        <w:rPr>
          <w:lang w:val="en-US"/>
        </w:rPr>
        <w:t xml:space="preserve">, </w:t>
      </w:r>
      <w:proofErr w:type="spellStart"/>
      <w:r w:rsidR="00943CEA">
        <w:rPr>
          <w:lang w:val="en-US"/>
        </w:rPr>
        <w:t>dilakukan</w:t>
      </w:r>
      <w:proofErr w:type="spellEnd"/>
      <w:r w:rsidR="00943CEA">
        <w:rPr>
          <w:lang w:val="en-US"/>
        </w:rPr>
        <w:t xml:space="preserve"> fitting </w:t>
      </w:r>
      <w:proofErr w:type="spellStart"/>
      <w:r w:rsidR="00943CEA">
        <w:rPr>
          <w:lang w:val="en-US"/>
        </w:rPr>
        <w:t>dan</w:t>
      </w:r>
      <w:proofErr w:type="spellEnd"/>
      <w:r w:rsidR="00943CEA">
        <w:rPr>
          <w:lang w:val="en-US"/>
        </w:rPr>
        <w:t xml:space="preserve"> </w:t>
      </w:r>
      <w:proofErr w:type="spellStart"/>
      <w:r w:rsidR="00943CEA">
        <w:rPr>
          <w:lang w:val="en-US"/>
        </w:rPr>
        <w:t>simulasi</w:t>
      </w:r>
      <w:proofErr w:type="spellEnd"/>
      <w:r w:rsidR="00943CEA">
        <w:rPr>
          <w:lang w:val="en-US"/>
        </w:rPr>
        <w:t xml:space="preserve"> </w:t>
      </w:r>
      <w:proofErr w:type="spellStart"/>
      <w:r w:rsidR="000D28BC">
        <w:rPr>
          <w:lang w:val="en-US"/>
        </w:rPr>
        <w:t>kasus</w:t>
      </w:r>
      <w:proofErr w:type="spellEnd"/>
      <w:r w:rsidR="000D28BC">
        <w:rPr>
          <w:lang w:val="en-US"/>
        </w:rPr>
        <w:t xml:space="preserve"> COVID-19 DKI Jakarta </w:t>
      </w:r>
      <w:proofErr w:type="spellStart"/>
      <w:r w:rsidR="000D28BC">
        <w:rPr>
          <w:lang w:val="en-US"/>
        </w:rPr>
        <w:t>dengan</w:t>
      </w:r>
      <w:proofErr w:type="spellEnd"/>
      <w:r w:rsidR="000D28BC">
        <w:rPr>
          <w:lang w:val="en-US"/>
        </w:rPr>
        <w:t xml:space="preserve"> </w:t>
      </w:r>
      <w:proofErr w:type="spellStart"/>
      <w:r w:rsidR="000D28BC">
        <w:rPr>
          <w:lang w:val="en-US"/>
        </w:rPr>
        <w:t>menggunakan</w:t>
      </w:r>
      <w:proofErr w:type="spellEnd"/>
      <w:r w:rsidR="000D28BC">
        <w:rPr>
          <w:lang w:val="en-US"/>
        </w:rPr>
        <w:t xml:space="preserve"> mode</w:t>
      </w:r>
      <w:r w:rsidR="00B35D30">
        <w:rPr>
          <w:lang w:val="en-US"/>
        </w:rPr>
        <w:t>l SI</w:t>
      </w:r>
      <w:r w:rsidR="00EC5A0D">
        <w:rPr>
          <w:lang w:val="en-US"/>
        </w:rPr>
        <w:t xml:space="preserve">RQN </w:t>
      </w:r>
      <w:proofErr w:type="spellStart"/>
      <w:r w:rsidR="00EC5A0D">
        <w:rPr>
          <w:lang w:val="en-US"/>
        </w:rPr>
        <w:t>dan</w:t>
      </w:r>
      <w:proofErr w:type="spellEnd"/>
      <w:r w:rsidR="00EC5A0D">
        <w:rPr>
          <w:lang w:val="en-US"/>
        </w:rPr>
        <w:t xml:space="preserve"> model </w:t>
      </w:r>
      <w:proofErr w:type="spellStart"/>
      <w:r w:rsidR="00EC5A0D">
        <w:rPr>
          <w:lang w:val="en-US"/>
        </w:rPr>
        <w:t>SQRshadow+EKF</w:t>
      </w:r>
      <w:proofErr w:type="spellEnd"/>
      <w:r w:rsidR="00EC5A0D">
        <w:rPr>
          <w:lang w:val="en-US"/>
        </w:rPr>
        <w:t xml:space="preserve">. </w:t>
      </w:r>
      <w:proofErr w:type="spellStart"/>
      <w:r w:rsidR="00EC5A0D">
        <w:rPr>
          <w:lang w:val="en-US"/>
        </w:rPr>
        <w:t>Tujuannya</w:t>
      </w:r>
      <w:proofErr w:type="spellEnd"/>
      <w:r w:rsidR="00EC5A0D">
        <w:rPr>
          <w:lang w:val="en-US"/>
        </w:rPr>
        <w:t xml:space="preserve"> adalah </w:t>
      </w:r>
      <w:proofErr w:type="spellStart"/>
      <w:r w:rsidR="00EC5A0D">
        <w:rPr>
          <w:lang w:val="en-US"/>
        </w:rPr>
        <w:t>mengetahui</w:t>
      </w:r>
      <w:proofErr w:type="spellEnd"/>
      <w:r w:rsidR="00EC5A0D">
        <w:rPr>
          <w:lang w:val="en-US"/>
        </w:rPr>
        <w:t xml:space="preserve"> </w:t>
      </w:r>
      <w:proofErr w:type="spellStart"/>
      <w:r w:rsidR="00EC5A0D">
        <w:rPr>
          <w:lang w:val="en-US"/>
        </w:rPr>
        <w:t>perbedaan</w:t>
      </w:r>
      <w:proofErr w:type="spellEnd"/>
      <w:r w:rsidR="00317DE2">
        <w:rPr>
          <w:lang w:val="en-US"/>
        </w:rPr>
        <w:t xml:space="preserve"> </w:t>
      </w:r>
      <w:proofErr w:type="spellStart"/>
      <w:r w:rsidR="00BB44D6">
        <w:rPr>
          <w:lang w:val="en-US"/>
        </w:rPr>
        <w:t>antara</w:t>
      </w:r>
      <w:proofErr w:type="spellEnd"/>
      <w:r w:rsidR="00BB44D6">
        <w:rPr>
          <w:lang w:val="en-US"/>
        </w:rPr>
        <w:t xml:space="preserve"> </w:t>
      </w:r>
      <w:proofErr w:type="spellStart"/>
      <w:r w:rsidR="00E9580A">
        <w:rPr>
          <w:lang w:val="en-US"/>
        </w:rPr>
        <w:t>kebijakan</w:t>
      </w:r>
      <w:proofErr w:type="spellEnd"/>
      <w:r w:rsidR="00E9580A">
        <w:rPr>
          <w:lang w:val="en-US"/>
        </w:rPr>
        <w:t xml:space="preserve"> </w:t>
      </w:r>
      <w:r w:rsidR="00BB44D6">
        <w:rPr>
          <w:lang w:val="en-US"/>
        </w:rPr>
        <w:t xml:space="preserve">PSBB </w:t>
      </w:r>
      <w:proofErr w:type="spellStart"/>
      <w:r w:rsidR="00BB44D6">
        <w:rPr>
          <w:lang w:val="en-US"/>
        </w:rPr>
        <w:t>Transisi</w:t>
      </w:r>
      <w:proofErr w:type="spellEnd"/>
      <w:r w:rsidR="00BB44D6">
        <w:rPr>
          <w:lang w:val="en-US"/>
        </w:rPr>
        <w:t xml:space="preserve"> </w:t>
      </w:r>
      <w:proofErr w:type="spellStart"/>
      <w:r w:rsidR="00AD34B0">
        <w:rPr>
          <w:lang w:val="en-US"/>
        </w:rPr>
        <w:t>dengan</w:t>
      </w:r>
      <w:proofErr w:type="spellEnd"/>
      <w:r w:rsidR="00BB44D6">
        <w:rPr>
          <w:lang w:val="en-US"/>
        </w:rPr>
        <w:t xml:space="preserve"> PSBB Total.</w:t>
      </w:r>
    </w:p>
    <w:p w:rsidR="00826F5B" w:rsidRPr="000F6CA5" w:rsidRDefault="0028619F" w:rsidP="00E061DD">
      <w:pPr>
        <w:pStyle w:val="Heading1"/>
      </w:pPr>
      <w:r>
        <w:rPr>
          <w:lang w:val="en-US"/>
        </w:rPr>
        <w:t xml:space="preserve">Fitting &amp;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 w:rsidR="003F6E4F">
        <w:rPr>
          <w:lang w:val="en-US"/>
        </w:rPr>
        <w:t>dengan</w:t>
      </w:r>
      <w:proofErr w:type="spellEnd"/>
      <w:r w:rsidR="003F6E4F">
        <w:rPr>
          <w:lang w:val="en-US"/>
        </w:rPr>
        <w:t xml:space="preserve"> Model SIRQN</w:t>
      </w:r>
    </w:p>
    <w:p w:rsidR="00880D1A" w:rsidRPr="000F6CA5" w:rsidRDefault="00683E26" w:rsidP="00024B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1pt;height:153.55pt">
            <v:imagedata r:id="rId5" o:title="Model"/>
          </v:shape>
        </w:pict>
      </w:r>
    </w:p>
    <w:p w:rsidR="0078570D" w:rsidRPr="000F6CA5" w:rsidRDefault="0078570D" w:rsidP="00C03E71">
      <w:pPr>
        <w:pStyle w:val="Heading2"/>
      </w:pPr>
      <w:r w:rsidRPr="000F6CA5">
        <w:t>Close Up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70D" w:rsidRPr="000F6CA5" w:rsidTr="004F3E32">
        <w:tc>
          <w:tcPr>
            <w:tcW w:w="9016" w:type="dxa"/>
          </w:tcPr>
          <w:p w:rsidR="0078570D" w:rsidRPr="00902518" w:rsidRDefault="0005086C" w:rsidP="004F3E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</w:t>
            </w:r>
            <w:r w:rsidR="00902518">
              <w:rPr>
                <w:lang w:val="en-US"/>
              </w:rPr>
              <w:t xml:space="preserve">5 </w:t>
            </w:r>
            <w:proofErr w:type="spellStart"/>
            <w:r w:rsidR="00902518">
              <w:rPr>
                <w:lang w:val="en-US"/>
              </w:rPr>
              <w:t>Juni</w:t>
            </w:r>
            <w:proofErr w:type="spellEnd"/>
            <w:r w:rsidR="00902518">
              <w:rPr>
                <w:lang w:val="en-US"/>
              </w:rPr>
              <w:t xml:space="preserve"> 2020 </w:t>
            </w:r>
            <w:r>
              <w:rPr>
                <w:lang w:val="en-US"/>
              </w:rPr>
              <w:t>–</w:t>
            </w:r>
            <w:r w:rsidR="00902518">
              <w:rPr>
                <w:lang w:val="en-US"/>
              </w:rPr>
              <w:t xml:space="preserve"> </w:t>
            </w:r>
            <w:r>
              <w:rPr>
                <w:lang w:val="en-US"/>
              </w:rPr>
              <w:t>13 September 2020</w:t>
            </w:r>
          </w:p>
          <w:p w:rsidR="0078570D" w:rsidRPr="000F6CA5" w:rsidRDefault="0078570D" w:rsidP="00890CEF">
            <w:pPr>
              <w:ind w:firstLine="0"/>
            </w:pPr>
          </w:p>
        </w:tc>
      </w:tr>
      <w:tr w:rsidR="0078570D" w:rsidRPr="000F6CA5" w:rsidTr="004F3E32">
        <w:tc>
          <w:tcPr>
            <w:tcW w:w="9016" w:type="dxa"/>
          </w:tcPr>
          <w:p w:rsidR="0078570D" w:rsidRDefault="0078570D" w:rsidP="00E56262">
            <w:pPr>
              <w:ind w:firstLine="0"/>
              <w:rPr>
                <w:lang w:val="en-US"/>
              </w:rPr>
            </w:pPr>
            <w:r w:rsidRPr="000F6CA5">
              <w:t xml:space="preserve">PSBB </w:t>
            </w:r>
            <w:proofErr w:type="spellStart"/>
            <w:r w:rsidR="0005086C">
              <w:rPr>
                <w:lang w:val="en-US"/>
              </w:rPr>
              <w:t>Transisi</w:t>
            </w:r>
            <w:proofErr w:type="spellEnd"/>
            <w:r w:rsidR="0005086C">
              <w:rPr>
                <w:lang w:val="en-US"/>
              </w:rPr>
              <w:t xml:space="preserve"> &amp; PSBB Total</w:t>
            </w:r>
            <w:r w:rsidR="00D420F6">
              <w:rPr>
                <w:lang w:val="en-US"/>
              </w:rPr>
              <w:t xml:space="preserve"> 14-28 September 2020</w:t>
            </w:r>
          </w:p>
          <w:p w:rsidR="0012774F" w:rsidRPr="000F6CA5" w:rsidRDefault="0012774F" w:rsidP="00E56262">
            <w:pPr>
              <w:ind w:firstLine="0"/>
            </w:pPr>
          </w:p>
        </w:tc>
      </w:tr>
    </w:tbl>
    <w:p w:rsidR="0078570D" w:rsidRPr="000F6CA5" w:rsidRDefault="00082242" w:rsidP="002A7476">
      <w:pPr>
        <w:spacing w:line="276" w:lineRule="auto"/>
        <w:jc w:val="both"/>
      </w:pPr>
      <w:r w:rsidRPr="000F6CA5">
        <w:t>Data positif terinfeksi &amp; diisolasi dimasukkan ke dalam</w:t>
      </w:r>
      <w:r w:rsidR="008400A9" w:rsidRPr="000F6CA5">
        <w:t xml:space="preserve"> kompartemen Q (Quarantined) sedangkan</w:t>
      </w:r>
      <w:r w:rsidRPr="000F6CA5">
        <w:t xml:space="preserve"> kompartemen I (Infectious)</w:t>
      </w:r>
      <w:r w:rsidR="008400A9" w:rsidRPr="000F6CA5">
        <w:t xml:space="preserve"> diestimasi.</w:t>
      </w:r>
      <w:r w:rsidR="00EE7E43" w:rsidRPr="000F6CA5">
        <w:t xml:space="preserve"> </w:t>
      </w:r>
      <w:r w:rsidRPr="000F6CA5">
        <w:t>Pada gambar atas, fitting dengan segmen terpisah menghasilkan estimasi yang lebih mendekati data sebenarnya</w:t>
      </w:r>
      <w:r w:rsidR="009F500C" w:rsidRPr="000F6CA5">
        <w:t xml:space="preserve"> dibandingkan gambar bawah</w:t>
      </w:r>
      <w:r w:rsidRPr="000F6CA5">
        <w:t xml:space="preserve">. Pada gambar bawah, estimasi secara keseluruhan sudah cukup </w:t>
      </w:r>
      <w:r w:rsidR="00B94851" w:rsidRPr="000F6CA5">
        <w:t>mendekati data sebenarnya kecuali pada kompartemen NQ.</w:t>
      </w:r>
    </w:p>
    <w:p w:rsidR="0078570D" w:rsidRPr="000F6CA5" w:rsidRDefault="0078570D" w:rsidP="00C03E71">
      <w:pPr>
        <w:pStyle w:val="Heading2"/>
      </w:pPr>
      <w:r w:rsidRPr="000F6CA5">
        <w:t>Puncak Kasus Terinfeksi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FE9" w:rsidRPr="000F6CA5" w:rsidTr="00406832">
        <w:tc>
          <w:tcPr>
            <w:tcW w:w="9016" w:type="dxa"/>
          </w:tcPr>
          <w:p w:rsidR="00422FE9" w:rsidRPr="00B95C03" w:rsidRDefault="00422FE9" w:rsidP="004068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2020 – 13 September 2020</w:t>
            </w:r>
          </w:p>
          <w:p w:rsidR="00B95C03" w:rsidRPr="000F6CA5" w:rsidRDefault="004E388C" w:rsidP="00406832">
            <w:pPr>
              <w:ind w:firstLine="0"/>
            </w:pPr>
            <w:r>
              <w:pict>
                <v:shape id="_x0000_i1026" type="#_x0000_t75" style="width:450.7pt;height:225.55pt">
                  <v:imagedata r:id="rId6" o:title="CustomStates"/>
                </v:shape>
              </w:pict>
            </w:r>
          </w:p>
        </w:tc>
      </w:tr>
      <w:tr w:rsidR="00422FE9" w:rsidRPr="000F6CA5" w:rsidTr="00406832">
        <w:tc>
          <w:tcPr>
            <w:tcW w:w="9016" w:type="dxa"/>
          </w:tcPr>
          <w:p w:rsidR="00422FE9" w:rsidRDefault="00422FE9" w:rsidP="00406832">
            <w:pPr>
              <w:ind w:firstLine="0"/>
              <w:rPr>
                <w:lang w:val="en-US"/>
              </w:rPr>
            </w:pPr>
            <w:r w:rsidRPr="000F6CA5">
              <w:lastRenderedPageBreak/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&amp; PSBB Total 14-28 September 2020</w:t>
            </w:r>
          </w:p>
          <w:p w:rsidR="00422FE9" w:rsidRPr="000F6CA5" w:rsidRDefault="004E388C" w:rsidP="00406832">
            <w:pPr>
              <w:ind w:firstLine="0"/>
            </w:pPr>
            <w:r>
              <w:pict>
                <v:shape id="_x0000_i1027" type="#_x0000_t75" style="width:450.7pt;height:225.55pt">
                  <v:imagedata r:id="rId7" o:title="CustomStates"/>
                </v:shape>
              </w:pict>
            </w:r>
          </w:p>
        </w:tc>
      </w:tr>
    </w:tbl>
    <w:p w:rsidR="00FB23FB" w:rsidRPr="000F6CA5" w:rsidRDefault="00896046" w:rsidP="002A7476">
      <w:pPr>
        <w:spacing w:line="276" w:lineRule="auto"/>
        <w:jc w:val="both"/>
      </w:pPr>
      <w:r w:rsidRPr="000F6CA5">
        <w:t xml:space="preserve">Fitting dilakukan pada data Q (Quarantined), sedangkan kompartemen I (Infectious) diestimasi. </w:t>
      </w:r>
      <w:r w:rsidR="005B6164" w:rsidRPr="000F6CA5">
        <w:t xml:space="preserve">Kompartemen I diberi nilai awal </w:t>
      </w:r>
      <w:proofErr w:type="spellStart"/>
      <w:r w:rsidR="00E346C3">
        <w:rPr>
          <w:lang w:val="en-US"/>
        </w:rPr>
        <w:t>sama</w:t>
      </w:r>
      <w:proofErr w:type="spellEnd"/>
      <w:r w:rsidR="00E346C3">
        <w:rPr>
          <w:lang w:val="en-US"/>
        </w:rPr>
        <w:t xml:space="preserve"> </w:t>
      </w:r>
      <w:proofErr w:type="spellStart"/>
      <w:r w:rsidR="00E346C3">
        <w:rPr>
          <w:lang w:val="en-US"/>
        </w:rPr>
        <w:t>dengan</w:t>
      </w:r>
      <w:proofErr w:type="spellEnd"/>
      <w:r w:rsidR="00E346C3">
        <w:rPr>
          <w:lang w:val="en-US"/>
        </w:rPr>
        <w:t xml:space="preserve"> </w:t>
      </w:r>
      <w:proofErr w:type="spellStart"/>
      <w:r w:rsidR="00E346C3">
        <w:rPr>
          <w:lang w:val="en-US"/>
        </w:rPr>
        <w:t>kompartemen</w:t>
      </w:r>
      <w:proofErr w:type="spellEnd"/>
      <w:r w:rsidR="00E346C3">
        <w:rPr>
          <w:lang w:val="en-US"/>
        </w:rPr>
        <w:t xml:space="preserve"> Q</w:t>
      </w:r>
      <w:r w:rsidR="00FB23FB" w:rsidRPr="000F6CA5">
        <w:t>.</w:t>
      </w:r>
    </w:p>
    <w:p w:rsidR="00ED7D11" w:rsidRPr="000F6CA5" w:rsidRDefault="00ED7D11" w:rsidP="00E14FAF">
      <w:pPr>
        <w:pStyle w:val="Heading2"/>
      </w:pPr>
      <w:r w:rsidRPr="000F6CA5">
        <w:t>Angka Reproduksi Dasar R</w:t>
      </w:r>
      <w:r w:rsidRPr="000F6CA5">
        <w:rPr>
          <w:vertAlign w:val="subscript"/>
        </w:rPr>
        <w:t>0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6660"/>
        <w:gridCol w:w="1800"/>
      </w:tblGrid>
      <w:tr w:rsidR="00ED7D11" w:rsidRPr="000F6CA5" w:rsidTr="004F3E32">
        <w:tc>
          <w:tcPr>
            <w:tcW w:w="625" w:type="dxa"/>
          </w:tcPr>
          <w:p w:rsidR="00ED7D11" w:rsidRPr="000F6CA5" w:rsidRDefault="00ED7D11" w:rsidP="004F3E32">
            <w:pPr>
              <w:ind w:firstLine="0"/>
              <w:jc w:val="center"/>
            </w:pPr>
            <w:r w:rsidRPr="000F6CA5">
              <w:t>No.</w:t>
            </w:r>
          </w:p>
        </w:tc>
        <w:tc>
          <w:tcPr>
            <w:tcW w:w="6660" w:type="dxa"/>
          </w:tcPr>
          <w:p w:rsidR="00ED7D11" w:rsidRPr="000F6CA5" w:rsidRDefault="00ED7D11" w:rsidP="004F3E32">
            <w:pPr>
              <w:ind w:firstLine="0"/>
              <w:jc w:val="center"/>
            </w:pPr>
            <w:r w:rsidRPr="000F6CA5">
              <w:t>Segmen Fitting</w:t>
            </w:r>
          </w:p>
        </w:tc>
        <w:tc>
          <w:tcPr>
            <w:tcW w:w="1800" w:type="dxa"/>
          </w:tcPr>
          <w:p w:rsidR="00ED7D11" w:rsidRPr="000F6CA5" w:rsidRDefault="00ED7D11" w:rsidP="004F3E32">
            <w:pPr>
              <w:ind w:firstLine="0"/>
              <w:jc w:val="center"/>
              <w:rPr>
                <w:vertAlign w:val="subscript"/>
              </w:rPr>
            </w:pPr>
            <w:r w:rsidRPr="000F6CA5">
              <w:t>R</w:t>
            </w:r>
            <w:r w:rsidRPr="000F6CA5">
              <w:rPr>
                <w:vertAlign w:val="subscript"/>
              </w:rPr>
              <w:t>0</w:t>
            </w:r>
          </w:p>
        </w:tc>
      </w:tr>
      <w:tr w:rsidR="00ED7D11" w:rsidRPr="000F6CA5" w:rsidTr="004F3E32">
        <w:tc>
          <w:tcPr>
            <w:tcW w:w="625" w:type="dxa"/>
          </w:tcPr>
          <w:p w:rsidR="00ED7D11" w:rsidRPr="000F6CA5" w:rsidRDefault="00ED7D11" w:rsidP="004F3E32">
            <w:pPr>
              <w:ind w:firstLine="0"/>
              <w:jc w:val="center"/>
            </w:pPr>
            <w:r w:rsidRPr="000F6CA5">
              <w:t>1.</w:t>
            </w:r>
          </w:p>
        </w:tc>
        <w:tc>
          <w:tcPr>
            <w:tcW w:w="6660" w:type="dxa"/>
          </w:tcPr>
          <w:p w:rsidR="00ED7D11" w:rsidRPr="002037AD" w:rsidRDefault="002037AD" w:rsidP="004F3E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2020 – 13 September 2020</w:t>
            </w:r>
          </w:p>
        </w:tc>
        <w:tc>
          <w:tcPr>
            <w:tcW w:w="1800" w:type="dxa"/>
          </w:tcPr>
          <w:p w:rsidR="00ED7D11" w:rsidRPr="000F6CA5" w:rsidRDefault="00092E62" w:rsidP="004F3E32">
            <w:pPr>
              <w:ind w:firstLine="0"/>
              <w:jc w:val="center"/>
            </w:pPr>
            <w:r w:rsidRPr="00092E62">
              <w:t>1.880383</w:t>
            </w:r>
          </w:p>
        </w:tc>
      </w:tr>
      <w:tr w:rsidR="00ED7D11" w:rsidRPr="000F6CA5" w:rsidTr="004F3E32">
        <w:tc>
          <w:tcPr>
            <w:tcW w:w="625" w:type="dxa"/>
          </w:tcPr>
          <w:p w:rsidR="00ED7D11" w:rsidRPr="000F6CA5" w:rsidRDefault="002037AD" w:rsidP="004F3E32">
            <w:pPr>
              <w:ind w:firstLine="0"/>
              <w:jc w:val="center"/>
            </w:pPr>
            <w:r>
              <w:t>2</w:t>
            </w:r>
            <w:r w:rsidR="00ED7D11" w:rsidRPr="000F6CA5">
              <w:t>.</w:t>
            </w:r>
          </w:p>
        </w:tc>
        <w:tc>
          <w:tcPr>
            <w:tcW w:w="6660" w:type="dxa"/>
          </w:tcPr>
          <w:p w:rsidR="00ED7D11" w:rsidRPr="000F6CA5" w:rsidRDefault="002037AD" w:rsidP="002037AD">
            <w:pPr>
              <w:ind w:firstLine="0"/>
              <w:jc w:val="center"/>
            </w:pPr>
            <w:r>
              <w:rPr>
                <w:lang w:val="en-US"/>
              </w:rPr>
              <w:t xml:space="preserve">PSBB Total 14-28 September </w:t>
            </w:r>
            <w:r w:rsidR="00ED7D11" w:rsidRPr="000F6CA5">
              <w:t>2020</w:t>
            </w:r>
          </w:p>
        </w:tc>
        <w:tc>
          <w:tcPr>
            <w:tcW w:w="1800" w:type="dxa"/>
          </w:tcPr>
          <w:p w:rsidR="00ED7D11" w:rsidRPr="003E5E6F" w:rsidRDefault="00092E62" w:rsidP="003E5E6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3E5E6F">
              <w:rPr>
                <w:lang w:val="en-US"/>
              </w:rPr>
              <w:t>.</w:t>
            </w:r>
            <w:r w:rsidR="003E5E6F" w:rsidRPr="00092E62">
              <w:t xml:space="preserve"> </w:t>
            </w:r>
            <w:r w:rsidR="003E5E6F">
              <w:rPr>
                <w:lang w:val="en-US"/>
              </w:rPr>
              <w:t>000000</w:t>
            </w:r>
          </w:p>
        </w:tc>
      </w:tr>
    </w:tbl>
    <w:p w:rsidR="00896046" w:rsidRPr="000F6CA5" w:rsidRDefault="00A77236" w:rsidP="005577B0">
      <w:pPr>
        <w:spacing w:line="240" w:lineRule="auto"/>
        <w:jc w:val="both"/>
      </w:pPr>
      <w:bookmarkStart w:id="0" w:name="_GoBack"/>
      <w:bookmarkEnd w:id="0"/>
      <w:r w:rsidRPr="000F6CA5">
        <w:t xml:space="preserve">Dengan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I,Q</m:t>
                </m:r>
              </m:sub>
            </m:sSub>
          </m:den>
        </m:f>
      </m:oMath>
      <w:r w:rsidRPr="000F6CA5">
        <w:rPr>
          <w:rFonts w:eastAsiaTheme="minorEastAsia"/>
        </w:rPr>
        <w:t>, h</w:t>
      </w:r>
      <w:r w:rsidR="009347BA" w:rsidRPr="000F6CA5">
        <w:rPr>
          <w:rFonts w:eastAsiaTheme="minorEastAsia"/>
        </w:rPr>
        <w:t xml:space="preserve">al ini menyebabkan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347BA" w:rsidRPr="000F6CA5">
        <w:rPr>
          <w:rFonts w:eastAsiaTheme="minorEastAsia"/>
        </w:rPr>
        <w:t xml:space="preserve"> </w:t>
      </w:r>
    </w:p>
    <w:p w:rsidR="0078570D" w:rsidRDefault="0078570D" w:rsidP="00C03E71">
      <w:pPr>
        <w:pStyle w:val="Heading2"/>
      </w:pPr>
      <w:r w:rsidRPr="000F6CA5">
        <w:t>Semua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FE9" w:rsidRPr="000F6CA5" w:rsidTr="00406832">
        <w:tc>
          <w:tcPr>
            <w:tcW w:w="9016" w:type="dxa"/>
          </w:tcPr>
          <w:p w:rsidR="00422FE9" w:rsidRPr="00902518" w:rsidRDefault="00422FE9" w:rsidP="004068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2020 – 13 September 2020</w:t>
            </w:r>
          </w:p>
          <w:p w:rsidR="00422FE9" w:rsidRPr="000F6CA5" w:rsidRDefault="004E388C" w:rsidP="00406832">
            <w:pPr>
              <w:ind w:firstLine="0"/>
            </w:pPr>
            <w:r>
              <w:pict>
                <v:shape id="_x0000_i1028" type="#_x0000_t75" style="width:450.7pt;height:225.55pt">
                  <v:imagedata r:id="rId8" o:title="AllStates"/>
                </v:shape>
              </w:pict>
            </w:r>
          </w:p>
        </w:tc>
      </w:tr>
      <w:tr w:rsidR="00422FE9" w:rsidRPr="000F6CA5" w:rsidTr="00406832">
        <w:tc>
          <w:tcPr>
            <w:tcW w:w="9016" w:type="dxa"/>
          </w:tcPr>
          <w:p w:rsidR="00422FE9" w:rsidRDefault="00422FE9" w:rsidP="00406832">
            <w:pPr>
              <w:ind w:firstLine="0"/>
              <w:rPr>
                <w:lang w:val="en-US"/>
              </w:rPr>
            </w:pPr>
            <w:r w:rsidRPr="000F6CA5"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&amp; PSBB Total 14-28 September 2020</w:t>
            </w:r>
          </w:p>
          <w:p w:rsidR="00422FE9" w:rsidRPr="000F6CA5" w:rsidRDefault="004E388C" w:rsidP="00406832">
            <w:pPr>
              <w:ind w:firstLine="0"/>
            </w:pPr>
            <w:r>
              <w:lastRenderedPageBreak/>
              <w:pict>
                <v:shape id="_x0000_i1029" type="#_x0000_t75" style="width:450.7pt;height:225.55pt">
                  <v:imagedata r:id="rId9" o:title="AllStates"/>
                </v:shape>
              </w:pict>
            </w:r>
          </w:p>
        </w:tc>
      </w:tr>
    </w:tbl>
    <w:p w:rsidR="005A6976" w:rsidRPr="000F6CA5" w:rsidRDefault="005A6976">
      <w:pPr>
        <w:ind w:firstLine="0"/>
        <w:rPr>
          <w:b/>
        </w:rPr>
      </w:pPr>
      <w:r w:rsidRPr="000F6CA5">
        <w:lastRenderedPageBreak/>
        <w:br w:type="page"/>
      </w:r>
    </w:p>
    <w:p w:rsidR="005A6976" w:rsidRDefault="005A6976" w:rsidP="005A6976">
      <w:pPr>
        <w:pStyle w:val="Heading1"/>
      </w:pPr>
      <w:r w:rsidRPr="000F6CA5">
        <w:lastRenderedPageBreak/>
        <w:t xml:space="preserve">Pengaruh Pembagian Segmen </w:t>
      </w:r>
      <w:r w:rsidRPr="000F6CA5">
        <w:rPr>
          <w:i/>
        </w:rPr>
        <w:t>Fitting</w:t>
      </w:r>
      <w:r w:rsidRPr="000F6CA5">
        <w:t xml:space="preserve"> Terhadap Model SQRshadow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6"/>
        <w:gridCol w:w="2110"/>
      </w:tblGrid>
      <w:tr w:rsidR="001C2EC2" w:rsidTr="001C2EC2">
        <w:tc>
          <w:tcPr>
            <w:tcW w:w="6906" w:type="dxa"/>
          </w:tcPr>
          <w:p w:rsidR="001C2EC2" w:rsidRDefault="001C2EC2" w:rsidP="001C2EC2">
            <w:pPr>
              <w:ind w:firstLine="0"/>
            </w:pPr>
            <w:r w:rsidRPr="000F6CA5">
              <w:rPr>
                <w:noProof/>
                <w:lang w:eastAsia="id-ID"/>
              </w:rPr>
              <w:drawing>
                <wp:inline distT="0" distB="0" distL="0" distR="0">
                  <wp:extent cx="4245610" cy="1979930"/>
                  <wp:effectExtent l="0" t="0" r="2540" b="1270"/>
                  <wp:docPr id="11" name="Picture 11" descr="C:\Users\BagaskaraPP\AppData\Local\Microsoft\Windows\INetCache\Content.Word\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BagaskaraPP\AppData\Local\Microsoft\Windows\INetCache\Content.Word\Mod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610" cy="1979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0" w:type="dxa"/>
          </w:tcPr>
          <w:p w:rsidR="001C2EC2" w:rsidRDefault="001C2EC2" w:rsidP="001C2EC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: </w:t>
            </w:r>
          </w:p>
          <w:p w:rsidR="001C2EC2" w:rsidRDefault="001C2EC2" w:rsidP="001C2EC2">
            <w:pPr>
              <w:ind w:firstLine="0"/>
            </w:pPr>
            <w:proofErr w:type="spellStart"/>
            <w:r>
              <w:rPr>
                <w:lang w:val="en-US"/>
              </w:rPr>
              <w:t>Probabilitas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keacakan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ditambahkan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model</w:t>
            </w:r>
          </w:p>
        </w:tc>
      </w:tr>
    </w:tbl>
    <w:p w:rsidR="00CD5FC7" w:rsidRPr="000F6CA5" w:rsidRDefault="00CD5FC7" w:rsidP="00CD5FC7">
      <w:pPr>
        <w:pStyle w:val="Heading2"/>
      </w:pPr>
      <w:r w:rsidRPr="000F6CA5">
        <w:t>Close Up Fitting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2FE9" w:rsidRPr="000F6CA5" w:rsidTr="00406832">
        <w:tc>
          <w:tcPr>
            <w:tcW w:w="9016" w:type="dxa"/>
          </w:tcPr>
          <w:p w:rsidR="00422FE9" w:rsidRPr="00902518" w:rsidRDefault="00422FE9" w:rsidP="004068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2020 – 13 September 2020</w:t>
            </w:r>
          </w:p>
          <w:p w:rsidR="00422FE9" w:rsidRPr="000F6CA5" w:rsidRDefault="00422FE9" w:rsidP="00406832">
            <w:pPr>
              <w:ind w:firstLine="0"/>
            </w:pPr>
          </w:p>
        </w:tc>
      </w:tr>
      <w:tr w:rsidR="00422FE9" w:rsidRPr="000F6CA5" w:rsidTr="00406832">
        <w:tc>
          <w:tcPr>
            <w:tcW w:w="9016" w:type="dxa"/>
          </w:tcPr>
          <w:p w:rsidR="00422FE9" w:rsidRDefault="00422FE9" w:rsidP="00406832">
            <w:pPr>
              <w:ind w:firstLine="0"/>
              <w:rPr>
                <w:lang w:val="en-US"/>
              </w:rPr>
            </w:pPr>
            <w:r w:rsidRPr="000F6CA5"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&amp; PSBB Total 14-28 September 2020</w:t>
            </w:r>
          </w:p>
          <w:p w:rsidR="00422FE9" w:rsidRPr="000F6CA5" w:rsidRDefault="00422FE9" w:rsidP="00406832">
            <w:pPr>
              <w:ind w:firstLine="0"/>
            </w:pPr>
          </w:p>
        </w:tc>
      </w:tr>
    </w:tbl>
    <w:p w:rsidR="00CD5FC7" w:rsidRPr="001A21C2" w:rsidRDefault="00CD5FC7" w:rsidP="00CD5FC7">
      <w:pPr>
        <w:spacing w:line="276" w:lineRule="auto"/>
        <w:jc w:val="both"/>
        <w:rPr>
          <w:lang w:val="en-US"/>
        </w:rPr>
      </w:pPr>
      <w:r w:rsidRPr="000F6CA5">
        <w:t xml:space="preserve">Data positif terinfeksi &amp; diisolasi dimasukkan ke dalam kompartemen Q (Quarantined) sedangkan kompartemen </w:t>
      </w:r>
      <w:r w:rsidR="00E9561E">
        <w:rPr>
          <w:lang w:val="en-US"/>
        </w:rPr>
        <w:t>Q</w:t>
      </w:r>
      <w:r w:rsidR="00E9561E">
        <w:rPr>
          <w:vertAlign w:val="subscript"/>
          <w:lang w:val="en-US"/>
        </w:rPr>
        <w:t>s</w:t>
      </w:r>
      <w:r w:rsidRPr="000F6CA5">
        <w:t xml:space="preserve"> (Infectious) diestimasi. </w:t>
      </w:r>
    </w:p>
    <w:p w:rsidR="00CD5FC7" w:rsidRPr="000F6CA5" w:rsidRDefault="00CD5FC7" w:rsidP="00CD5FC7">
      <w:pPr>
        <w:pStyle w:val="Heading2"/>
      </w:pPr>
      <w:r w:rsidRPr="000F6CA5">
        <w:t>Puncak Kasus Terinfeksi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C3E" w:rsidRPr="000F6CA5" w:rsidTr="00406832">
        <w:tc>
          <w:tcPr>
            <w:tcW w:w="9016" w:type="dxa"/>
          </w:tcPr>
          <w:p w:rsidR="00F20C3E" w:rsidRPr="004331CB" w:rsidRDefault="00F20C3E" w:rsidP="004068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2020 – 13 September 2020</w:t>
            </w:r>
            <w:r w:rsidR="004E388C">
              <w:pict>
                <v:shape id="_x0000_i1030" type="#_x0000_t75" style="width:450.7pt;height:225.55pt">
                  <v:imagedata r:id="rId11" o:title="EKFQhighRidentity"/>
                </v:shape>
              </w:pict>
            </w:r>
          </w:p>
        </w:tc>
      </w:tr>
      <w:tr w:rsidR="00F20C3E" w:rsidRPr="000F6CA5" w:rsidTr="00406832">
        <w:tc>
          <w:tcPr>
            <w:tcW w:w="9016" w:type="dxa"/>
          </w:tcPr>
          <w:p w:rsidR="00F20C3E" w:rsidRDefault="00F20C3E" w:rsidP="00406832">
            <w:pPr>
              <w:ind w:firstLine="0"/>
              <w:rPr>
                <w:lang w:val="en-US"/>
              </w:rPr>
            </w:pPr>
            <w:r w:rsidRPr="000F6CA5"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&amp; PSBB Total 14-28 September 2020</w:t>
            </w:r>
          </w:p>
          <w:p w:rsidR="00F20C3E" w:rsidRPr="000F6CA5" w:rsidRDefault="00F20C3E" w:rsidP="00406832">
            <w:pPr>
              <w:ind w:firstLine="0"/>
            </w:pPr>
          </w:p>
        </w:tc>
      </w:tr>
    </w:tbl>
    <w:p w:rsidR="00CD5FC7" w:rsidRPr="000F6CA5" w:rsidRDefault="00CD5FC7" w:rsidP="00CD5FC7">
      <w:pPr>
        <w:pStyle w:val="Heading2"/>
      </w:pPr>
      <w:r w:rsidRPr="000F6CA5">
        <w:t>Angka Reproduksi Dasar R</w:t>
      </w:r>
      <w:r w:rsidRPr="000F6CA5">
        <w:rPr>
          <w:vertAlign w:val="subscript"/>
        </w:rPr>
        <w:t>0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6660"/>
        <w:gridCol w:w="1800"/>
      </w:tblGrid>
      <w:tr w:rsidR="00025410" w:rsidRPr="000F6CA5" w:rsidTr="00EC0DC0">
        <w:tc>
          <w:tcPr>
            <w:tcW w:w="625" w:type="dxa"/>
          </w:tcPr>
          <w:p w:rsidR="00025410" w:rsidRPr="000F6CA5" w:rsidRDefault="00025410" w:rsidP="00EC0DC0">
            <w:pPr>
              <w:ind w:firstLine="0"/>
              <w:jc w:val="center"/>
            </w:pPr>
            <w:r w:rsidRPr="000F6CA5">
              <w:t>No.</w:t>
            </w:r>
          </w:p>
        </w:tc>
        <w:tc>
          <w:tcPr>
            <w:tcW w:w="6660" w:type="dxa"/>
          </w:tcPr>
          <w:p w:rsidR="00025410" w:rsidRPr="000F6CA5" w:rsidRDefault="00025410" w:rsidP="00EC0DC0">
            <w:pPr>
              <w:ind w:firstLine="0"/>
              <w:jc w:val="center"/>
            </w:pPr>
            <w:r w:rsidRPr="000F6CA5">
              <w:t>Segmen Fitting</w:t>
            </w:r>
          </w:p>
        </w:tc>
        <w:tc>
          <w:tcPr>
            <w:tcW w:w="1800" w:type="dxa"/>
          </w:tcPr>
          <w:p w:rsidR="00025410" w:rsidRPr="000F6CA5" w:rsidRDefault="00025410" w:rsidP="00EC0DC0">
            <w:pPr>
              <w:ind w:firstLine="0"/>
              <w:jc w:val="center"/>
              <w:rPr>
                <w:vertAlign w:val="subscript"/>
              </w:rPr>
            </w:pPr>
            <w:r w:rsidRPr="000F6CA5">
              <w:t>R</w:t>
            </w:r>
            <w:r w:rsidRPr="000F6CA5">
              <w:rPr>
                <w:vertAlign w:val="subscript"/>
              </w:rPr>
              <w:t>0</w:t>
            </w:r>
          </w:p>
        </w:tc>
      </w:tr>
      <w:tr w:rsidR="00025410" w:rsidRPr="000F6CA5" w:rsidTr="00EC0DC0">
        <w:tc>
          <w:tcPr>
            <w:tcW w:w="625" w:type="dxa"/>
          </w:tcPr>
          <w:p w:rsidR="00025410" w:rsidRPr="000F6CA5" w:rsidRDefault="00025410" w:rsidP="00EC0DC0">
            <w:pPr>
              <w:ind w:firstLine="0"/>
              <w:jc w:val="center"/>
            </w:pPr>
            <w:r w:rsidRPr="000F6CA5">
              <w:t>1.</w:t>
            </w:r>
          </w:p>
        </w:tc>
        <w:tc>
          <w:tcPr>
            <w:tcW w:w="6660" w:type="dxa"/>
          </w:tcPr>
          <w:p w:rsidR="00025410" w:rsidRPr="002037AD" w:rsidRDefault="00025410" w:rsidP="00EC0D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2020 – 13 September 2020</w:t>
            </w:r>
          </w:p>
        </w:tc>
        <w:tc>
          <w:tcPr>
            <w:tcW w:w="1800" w:type="dxa"/>
          </w:tcPr>
          <w:p w:rsidR="00025410" w:rsidRPr="000F6CA5" w:rsidRDefault="00E859B7" w:rsidP="00EC0DC0">
            <w:pPr>
              <w:ind w:firstLine="0"/>
              <w:jc w:val="center"/>
            </w:pPr>
            <w:r w:rsidRPr="00E859B7">
              <w:t>1.240480</w:t>
            </w:r>
          </w:p>
        </w:tc>
      </w:tr>
      <w:tr w:rsidR="00025410" w:rsidRPr="000F6CA5" w:rsidTr="00EC0DC0">
        <w:tc>
          <w:tcPr>
            <w:tcW w:w="625" w:type="dxa"/>
          </w:tcPr>
          <w:p w:rsidR="00025410" w:rsidRPr="000F6CA5" w:rsidRDefault="00025410" w:rsidP="00EC0DC0">
            <w:pPr>
              <w:ind w:firstLine="0"/>
              <w:jc w:val="center"/>
            </w:pPr>
            <w:r>
              <w:t>2</w:t>
            </w:r>
            <w:r w:rsidRPr="000F6CA5">
              <w:t>.</w:t>
            </w:r>
          </w:p>
        </w:tc>
        <w:tc>
          <w:tcPr>
            <w:tcW w:w="6660" w:type="dxa"/>
          </w:tcPr>
          <w:p w:rsidR="00025410" w:rsidRPr="000F6CA5" w:rsidRDefault="00025410" w:rsidP="00EC0DC0">
            <w:pPr>
              <w:ind w:firstLine="0"/>
              <w:jc w:val="center"/>
            </w:pPr>
            <w:r>
              <w:rPr>
                <w:lang w:val="en-US"/>
              </w:rPr>
              <w:t xml:space="preserve">PSBB Total 14-28 September </w:t>
            </w:r>
            <w:r w:rsidRPr="000F6CA5">
              <w:t>2020</w:t>
            </w:r>
          </w:p>
        </w:tc>
        <w:tc>
          <w:tcPr>
            <w:tcW w:w="1800" w:type="dxa"/>
          </w:tcPr>
          <w:p w:rsidR="00025410" w:rsidRPr="003E5E6F" w:rsidRDefault="00025410" w:rsidP="00EC0DC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Pr="00092E62">
              <w:t xml:space="preserve"> </w:t>
            </w:r>
            <w:r>
              <w:rPr>
                <w:lang w:val="en-US"/>
              </w:rPr>
              <w:t>000000</w:t>
            </w:r>
          </w:p>
        </w:tc>
      </w:tr>
    </w:tbl>
    <w:p w:rsidR="00CD5FC7" w:rsidRPr="00362009" w:rsidRDefault="00782595" w:rsidP="00CD5FC7">
      <w:pPr>
        <w:jc w:val="both"/>
        <w:rPr>
          <w:lang w:val="en-US"/>
        </w:rPr>
      </w:pPr>
      <w:proofErr w:type="spellStart"/>
      <w:r>
        <w:rPr>
          <w:rFonts w:eastAsiaTheme="minorEastAsia"/>
          <w:lang w:val="en-US"/>
        </w:rPr>
        <w:t>Dengan</w:t>
      </w:r>
      <w:proofErr w:type="spell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  <w:r w:rsidR="004A1F53">
        <w:rPr>
          <w:rFonts w:eastAsiaTheme="minorEastAsia"/>
        </w:rPr>
        <w:t xml:space="preserve"> </w:t>
      </w:r>
      <w:r w:rsidR="00362009">
        <w:rPr>
          <w:rFonts w:eastAsiaTheme="minorEastAsia"/>
          <w:lang w:val="en-US"/>
        </w:rPr>
        <w:t xml:space="preserve">, </w:t>
      </w:r>
      <w:proofErr w:type="spellStart"/>
      <w:r w:rsidR="00362009">
        <w:rPr>
          <w:rFonts w:eastAsiaTheme="minorEastAsia"/>
          <w:lang w:val="en-US"/>
        </w:rPr>
        <w:t>yaitu</w:t>
      </w:r>
      <w:proofErr w:type="spellEnd"/>
      <w:r w:rsidR="00362009">
        <w:rPr>
          <w:rFonts w:eastAsiaTheme="minorEastAsia"/>
          <w:lang w:val="en-US"/>
        </w:rPr>
        <w:t xml:space="preserve"> </w:t>
      </w:r>
      <w:proofErr w:type="spellStart"/>
      <w:r w:rsidR="00362009">
        <w:rPr>
          <w:rFonts w:eastAsiaTheme="minorEastAsia"/>
          <w:lang w:val="en-US"/>
        </w:rPr>
        <w:t>nilai</w:t>
      </w:r>
      <w:proofErr w:type="spellEnd"/>
      <w:r w:rsidR="00362009">
        <w:rPr>
          <w:rFonts w:eastAsiaTheme="minorEastAsia"/>
          <w:lang w:val="en-US"/>
        </w:rPr>
        <w:t xml:space="preserve"> </w:t>
      </w:r>
      <w:proofErr w:type="spellStart"/>
      <w:r w:rsidR="00362009">
        <w:rPr>
          <w:rFonts w:eastAsiaTheme="minorEastAsia"/>
          <w:lang w:val="en-US"/>
        </w:rPr>
        <w:t>maksimal</w:t>
      </w:r>
      <w:proofErr w:type="spellEnd"/>
      <w:r w:rsidR="00362009">
        <w:rPr>
          <w:rFonts w:eastAsiaTheme="minorEastAsia"/>
          <w:lang w:val="en-US"/>
        </w:rPr>
        <w:t xml:space="preserve"> </w:t>
      </w:r>
      <w:proofErr w:type="spellStart"/>
      <w:r w:rsidR="00362009">
        <w:rPr>
          <w:rFonts w:eastAsiaTheme="minorEastAsia"/>
          <w:lang w:val="en-US"/>
        </w:rPr>
        <w:t>antara</w:t>
      </w:r>
      <w:proofErr w:type="spellEnd"/>
      <w:r w:rsidR="00362009">
        <w:rPr>
          <w:rFonts w:eastAsiaTheme="minorEastAsia"/>
          <w:lang w:val="en-US"/>
        </w:rPr>
        <w:t xml:space="preserve"> 2 eigenvalue, </w:t>
      </w:r>
      <w:proofErr w:type="spellStart"/>
      <w:r w:rsidR="008B6FAC">
        <w:rPr>
          <w:rFonts w:eastAsiaTheme="minorEastAsia"/>
          <w:lang w:val="en-US"/>
        </w:rPr>
        <w:t>nilai</w:t>
      </w:r>
      <w:proofErr w:type="spellEnd"/>
      <w:r w:rsidR="008B6FAC">
        <w:rPr>
          <w:rFonts w:eastAsiaTheme="minorEastAsia"/>
          <w:lang w:val="en-US"/>
        </w:rPr>
        <w:t xml:space="preserve"> </w:t>
      </w:r>
      <w:proofErr w:type="spellStart"/>
      <w:r w:rsidR="008B6FAC">
        <w:rPr>
          <w:rFonts w:eastAsiaTheme="minorEastAsia"/>
          <w:lang w:val="en-US"/>
        </w:rPr>
        <w:t>ini</w:t>
      </w:r>
      <w:proofErr w:type="spellEnd"/>
      <w:r w:rsidR="008B6FAC">
        <w:rPr>
          <w:rFonts w:eastAsiaTheme="minorEastAsia"/>
          <w:lang w:val="en-US"/>
        </w:rPr>
        <w:t xml:space="preserve"> </w:t>
      </w:r>
      <w:proofErr w:type="spellStart"/>
      <w:r w:rsidR="008B6FAC">
        <w:rPr>
          <w:rFonts w:eastAsiaTheme="minorEastAsia"/>
          <w:lang w:val="en-US"/>
        </w:rPr>
        <w:t>juga</w:t>
      </w:r>
      <w:proofErr w:type="spellEnd"/>
      <w:r w:rsidR="008B6FAC">
        <w:rPr>
          <w:rFonts w:eastAsiaTheme="minorEastAsia"/>
          <w:lang w:val="en-US"/>
        </w:rPr>
        <w:t xml:space="preserve"> </w:t>
      </w:r>
      <w:proofErr w:type="spellStart"/>
      <w:r w:rsidR="008B6FAC">
        <w:rPr>
          <w:rFonts w:eastAsiaTheme="minorEastAsia"/>
          <w:lang w:val="en-US"/>
        </w:rPr>
        <w:t>sangat</w:t>
      </w:r>
      <w:proofErr w:type="spellEnd"/>
      <w:r w:rsidR="008B6FAC">
        <w:rPr>
          <w:rFonts w:eastAsiaTheme="minorEastAsia"/>
          <w:lang w:val="en-US"/>
        </w:rPr>
        <w:t xml:space="preserve"> </w:t>
      </w:r>
      <w:proofErr w:type="spellStart"/>
      <w:r w:rsidR="008B6FAC">
        <w:rPr>
          <w:rFonts w:eastAsiaTheme="minorEastAsia"/>
          <w:lang w:val="en-US"/>
        </w:rPr>
        <w:t>bergantung</w:t>
      </w:r>
      <w:proofErr w:type="spellEnd"/>
      <w:r w:rsidR="008B6FAC">
        <w:rPr>
          <w:rFonts w:eastAsiaTheme="minorEastAsia"/>
          <w:lang w:val="en-US"/>
        </w:rPr>
        <w:t xml:space="preserve"> parameter </w:t>
      </w:r>
      <w:proofErr w:type="spellStart"/>
      <w:r w:rsidR="008B6FAC">
        <w:rPr>
          <w:rFonts w:eastAsiaTheme="minorEastAsia"/>
          <w:lang w:val="en-US"/>
        </w:rPr>
        <w:t>hasil</w:t>
      </w:r>
      <w:proofErr w:type="spellEnd"/>
      <w:r w:rsidR="008B6FAC">
        <w:rPr>
          <w:rFonts w:eastAsiaTheme="minorEastAsia"/>
          <w:lang w:val="en-US"/>
        </w:rPr>
        <w:t xml:space="preserve"> fit</w:t>
      </w:r>
      <w:r w:rsidR="000665A6">
        <w:rPr>
          <w:rFonts w:eastAsiaTheme="minorEastAsia"/>
          <w:lang w:val="en-US"/>
        </w:rPr>
        <w:t xml:space="preserve">ting. </w:t>
      </w:r>
    </w:p>
    <w:p w:rsidR="00CD5FC7" w:rsidRPr="000F6CA5" w:rsidRDefault="00CD5FC7" w:rsidP="00CD5FC7">
      <w:pPr>
        <w:pStyle w:val="Heading2"/>
      </w:pPr>
      <w:r w:rsidRPr="000F6CA5">
        <w:lastRenderedPageBreak/>
        <w:t>Semua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0C3E" w:rsidRPr="000F6CA5" w:rsidTr="00406832">
        <w:tc>
          <w:tcPr>
            <w:tcW w:w="9016" w:type="dxa"/>
          </w:tcPr>
          <w:p w:rsidR="00F20C3E" w:rsidRPr="00902518" w:rsidRDefault="00F20C3E" w:rsidP="004068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5 </w:t>
            </w:r>
            <w:proofErr w:type="spellStart"/>
            <w:r>
              <w:rPr>
                <w:lang w:val="en-US"/>
              </w:rPr>
              <w:t>Juni</w:t>
            </w:r>
            <w:proofErr w:type="spellEnd"/>
            <w:r>
              <w:rPr>
                <w:lang w:val="en-US"/>
              </w:rPr>
              <w:t xml:space="preserve"> 2020 – 13 September 2020</w:t>
            </w:r>
          </w:p>
          <w:p w:rsidR="00F20C3E" w:rsidRPr="000F6CA5" w:rsidRDefault="004E388C" w:rsidP="00406832">
            <w:pPr>
              <w:ind w:firstLine="0"/>
            </w:pPr>
            <w:r>
              <w:pict>
                <v:shape id="_x0000_i1031" type="#_x0000_t75" style="width:451.15pt;height:225.55pt">
                  <v:imagedata r:id="rId12" o:title="AllStatesEKFQhighRidentity"/>
                </v:shape>
              </w:pict>
            </w:r>
          </w:p>
        </w:tc>
      </w:tr>
      <w:tr w:rsidR="00F20C3E" w:rsidRPr="000F6CA5" w:rsidTr="00406832">
        <w:tc>
          <w:tcPr>
            <w:tcW w:w="9016" w:type="dxa"/>
          </w:tcPr>
          <w:p w:rsidR="00F20C3E" w:rsidRDefault="00F20C3E" w:rsidP="00406832">
            <w:pPr>
              <w:ind w:firstLine="0"/>
              <w:rPr>
                <w:lang w:val="en-US"/>
              </w:rPr>
            </w:pPr>
            <w:r w:rsidRPr="000F6CA5">
              <w:t xml:space="preserve">PSBB </w:t>
            </w:r>
            <w:proofErr w:type="spellStart"/>
            <w:r>
              <w:rPr>
                <w:lang w:val="en-US"/>
              </w:rPr>
              <w:t>Transisi</w:t>
            </w:r>
            <w:proofErr w:type="spellEnd"/>
            <w:r>
              <w:rPr>
                <w:lang w:val="en-US"/>
              </w:rPr>
              <w:t xml:space="preserve"> &amp; PSBB Total 14-28 September 2020</w:t>
            </w:r>
          </w:p>
          <w:p w:rsidR="00F20C3E" w:rsidRPr="000F6CA5" w:rsidRDefault="00F20C3E" w:rsidP="00406832">
            <w:pPr>
              <w:ind w:firstLine="0"/>
            </w:pPr>
          </w:p>
        </w:tc>
      </w:tr>
    </w:tbl>
    <w:p w:rsidR="00684A61" w:rsidRPr="005D52BA" w:rsidRDefault="00684A61" w:rsidP="005D52BA">
      <w:pPr>
        <w:jc w:val="both"/>
      </w:pPr>
      <w:r>
        <w:br w:type="page"/>
      </w:r>
    </w:p>
    <w:p w:rsidR="00F72759" w:rsidRPr="000F6CA5" w:rsidRDefault="00F72759" w:rsidP="00F72759">
      <w:pPr>
        <w:pStyle w:val="Heading1"/>
      </w:pPr>
      <w:r w:rsidRPr="000F6CA5">
        <w:lastRenderedPageBreak/>
        <w:t>Kesimpulan Sementara</w:t>
      </w:r>
    </w:p>
    <w:p w:rsidR="009A1ADA" w:rsidRPr="000F6CA5" w:rsidRDefault="009A1ADA" w:rsidP="009A1ADA">
      <w:pPr>
        <w:pStyle w:val="Heading1"/>
      </w:pPr>
      <w:r w:rsidRPr="000F6CA5">
        <w:t>Saran</w:t>
      </w:r>
      <w:r w:rsidR="000F6CA5">
        <w:rPr>
          <w:lang w:val="en-US"/>
        </w:rPr>
        <w:t xml:space="preserve"> &amp; </w:t>
      </w:r>
      <w:proofErr w:type="spellStart"/>
      <w:r w:rsidR="000F6CA5">
        <w:rPr>
          <w:lang w:val="en-US"/>
        </w:rPr>
        <w:t>Rencana</w:t>
      </w:r>
      <w:proofErr w:type="spellEnd"/>
      <w:r w:rsidR="000F6CA5">
        <w:rPr>
          <w:lang w:val="en-US"/>
        </w:rPr>
        <w:t xml:space="preserve"> </w:t>
      </w:r>
      <w:proofErr w:type="spellStart"/>
      <w:r w:rsidR="000F6CA5">
        <w:rPr>
          <w:lang w:val="en-US"/>
        </w:rPr>
        <w:t>ke</w:t>
      </w:r>
      <w:proofErr w:type="spellEnd"/>
      <w:r w:rsidR="000F6CA5">
        <w:rPr>
          <w:lang w:val="en-US"/>
        </w:rPr>
        <w:t xml:space="preserve"> </w:t>
      </w:r>
      <w:proofErr w:type="spellStart"/>
      <w:r w:rsidR="000F6CA5">
        <w:rPr>
          <w:lang w:val="en-US"/>
        </w:rPr>
        <w:t>Depan</w:t>
      </w:r>
      <w:proofErr w:type="spellEnd"/>
    </w:p>
    <w:p w:rsidR="00CF7401" w:rsidRPr="000F6CA5" w:rsidRDefault="00CF7401" w:rsidP="007D0050">
      <w:pPr>
        <w:pStyle w:val="ListParagraph"/>
        <w:ind w:left="1080" w:firstLine="0"/>
      </w:pPr>
    </w:p>
    <w:sectPr w:rsidR="00CF7401" w:rsidRPr="000F6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73542"/>
    <w:multiLevelType w:val="hybridMultilevel"/>
    <w:tmpl w:val="8CD42A8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9D00C0"/>
    <w:multiLevelType w:val="multilevel"/>
    <w:tmpl w:val="5E8472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CC834F0"/>
    <w:multiLevelType w:val="hybridMultilevel"/>
    <w:tmpl w:val="42E0FD58"/>
    <w:lvl w:ilvl="0" w:tplc="2E90D0A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AE"/>
    <w:rsid w:val="0000098E"/>
    <w:rsid w:val="00001755"/>
    <w:rsid w:val="00024BA6"/>
    <w:rsid w:val="00025410"/>
    <w:rsid w:val="00044707"/>
    <w:rsid w:val="0005086C"/>
    <w:rsid w:val="00060F9E"/>
    <w:rsid w:val="00063BAE"/>
    <w:rsid w:val="000665A6"/>
    <w:rsid w:val="00066F69"/>
    <w:rsid w:val="00070E1C"/>
    <w:rsid w:val="0007324E"/>
    <w:rsid w:val="00082242"/>
    <w:rsid w:val="000835BA"/>
    <w:rsid w:val="00092E62"/>
    <w:rsid w:val="000947C0"/>
    <w:rsid w:val="000B0234"/>
    <w:rsid w:val="000D228B"/>
    <w:rsid w:val="000D28BC"/>
    <w:rsid w:val="000E1876"/>
    <w:rsid w:val="000E6D41"/>
    <w:rsid w:val="000F6CA5"/>
    <w:rsid w:val="00113EF2"/>
    <w:rsid w:val="00120A91"/>
    <w:rsid w:val="0012774F"/>
    <w:rsid w:val="00133E50"/>
    <w:rsid w:val="00155BCC"/>
    <w:rsid w:val="0017390F"/>
    <w:rsid w:val="001A21C2"/>
    <w:rsid w:val="001B1CE1"/>
    <w:rsid w:val="001B1FEE"/>
    <w:rsid w:val="001C2EC2"/>
    <w:rsid w:val="001C60F5"/>
    <w:rsid w:val="001F2FD8"/>
    <w:rsid w:val="001F45D7"/>
    <w:rsid w:val="001F7F26"/>
    <w:rsid w:val="00200E3A"/>
    <w:rsid w:val="002010B8"/>
    <w:rsid w:val="0020114F"/>
    <w:rsid w:val="002037AD"/>
    <w:rsid w:val="0021487D"/>
    <w:rsid w:val="00237377"/>
    <w:rsid w:val="00251331"/>
    <w:rsid w:val="00263E46"/>
    <w:rsid w:val="0026638B"/>
    <w:rsid w:val="002751D0"/>
    <w:rsid w:val="0028096B"/>
    <w:rsid w:val="0028619F"/>
    <w:rsid w:val="00286628"/>
    <w:rsid w:val="00290370"/>
    <w:rsid w:val="00293527"/>
    <w:rsid w:val="002A1C21"/>
    <w:rsid w:val="002A7476"/>
    <w:rsid w:val="002C59E5"/>
    <w:rsid w:val="002F48C0"/>
    <w:rsid w:val="002F7C4E"/>
    <w:rsid w:val="00300A8C"/>
    <w:rsid w:val="00302322"/>
    <w:rsid w:val="00304AB3"/>
    <w:rsid w:val="0031368D"/>
    <w:rsid w:val="00315E48"/>
    <w:rsid w:val="00317DE2"/>
    <w:rsid w:val="003221F9"/>
    <w:rsid w:val="003328EB"/>
    <w:rsid w:val="003415EC"/>
    <w:rsid w:val="00356E4B"/>
    <w:rsid w:val="0036062D"/>
    <w:rsid w:val="00362009"/>
    <w:rsid w:val="003947BC"/>
    <w:rsid w:val="003A47A0"/>
    <w:rsid w:val="003B14CC"/>
    <w:rsid w:val="003E1C65"/>
    <w:rsid w:val="003E1E15"/>
    <w:rsid w:val="003E5E6F"/>
    <w:rsid w:val="003E5FA3"/>
    <w:rsid w:val="003F67B8"/>
    <w:rsid w:val="003F6E4F"/>
    <w:rsid w:val="00412C51"/>
    <w:rsid w:val="00415362"/>
    <w:rsid w:val="00422FE9"/>
    <w:rsid w:val="004234F4"/>
    <w:rsid w:val="004266F9"/>
    <w:rsid w:val="004331CB"/>
    <w:rsid w:val="00442585"/>
    <w:rsid w:val="0044787F"/>
    <w:rsid w:val="004568C3"/>
    <w:rsid w:val="00476BB7"/>
    <w:rsid w:val="00487619"/>
    <w:rsid w:val="004A1F53"/>
    <w:rsid w:val="004B4459"/>
    <w:rsid w:val="004B7120"/>
    <w:rsid w:val="004C398F"/>
    <w:rsid w:val="004C773E"/>
    <w:rsid w:val="004D1D69"/>
    <w:rsid w:val="004E1AD2"/>
    <w:rsid w:val="004E388C"/>
    <w:rsid w:val="004F0692"/>
    <w:rsid w:val="004F260F"/>
    <w:rsid w:val="004F6820"/>
    <w:rsid w:val="005028AF"/>
    <w:rsid w:val="00514EAD"/>
    <w:rsid w:val="005311EB"/>
    <w:rsid w:val="00533953"/>
    <w:rsid w:val="005577B0"/>
    <w:rsid w:val="0057261F"/>
    <w:rsid w:val="00573EBC"/>
    <w:rsid w:val="005763FF"/>
    <w:rsid w:val="00581713"/>
    <w:rsid w:val="005A6976"/>
    <w:rsid w:val="005B6164"/>
    <w:rsid w:val="005D4659"/>
    <w:rsid w:val="005D52BA"/>
    <w:rsid w:val="005D60A8"/>
    <w:rsid w:val="005F2B2F"/>
    <w:rsid w:val="00606333"/>
    <w:rsid w:val="006064E6"/>
    <w:rsid w:val="00616DBA"/>
    <w:rsid w:val="00621C6C"/>
    <w:rsid w:val="00633EED"/>
    <w:rsid w:val="00646025"/>
    <w:rsid w:val="00647568"/>
    <w:rsid w:val="00653E1F"/>
    <w:rsid w:val="00654FCA"/>
    <w:rsid w:val="00662319"/>
    <w:rsid w:val="00672613"/>
    <w:rsid w:val="00683E26"/>
    <w:rsid w:val="0068431D"/>
    <w:rsid w:val="00684A61"/>
    <w:rsid w:val="006878FF"/>
    <w:rsid w:val="006B6AC3"/>
    <w:rsid w:val="00714F5F"/>
    <w:rsid w:val="00716F8C"/>
    <w:rsid w:val="007452F5"/>
    <w:rsid w:val="00756D10"/>
    <w:rsid w:val="007616DF"/>
    <w:rsid w:val="007818B2"/>
    <w:rsid w:val="00782595"/>
    <w:rsid w:val="0078488B"/>
    <w:rsid w:val="0078570D"/>
    <w:rsid w:val="007A78A4"/>
    <w:rsid w:val="007B0516"/>
    <w:rsid w:val="007B409F"/>
    <w:rsid w:val="007C25E6"/>
    <w:rsid w:val="007D0050"/>
    <w:rsid w:val="007D3D7C"/>
    <w:rsid w:val="007E10AD"/>
    <w:rsid w:val="007E3B75"/>
    <w:rsid w:val="007E5C67"/>
    <w:rsid w:val="00803337"/>
    <w:rsid w:val="00810696"/>
    <w:rsid w:val="008154DC"/>
    <w:rsid w:val="00815D5F"/>
    <w:rsid w:val="00824186"/>
    <w:rsid w:val="00826F5B"/>
    <w:rsid w:val="008400A9"/>
    <w:rsid w:val="008526F5"/>
    <w:rsid w:val="008537ED"/>
    <w:rsid w:val="00857671"/>
    <w:rsid w:val="00861070"/>
    <w:rsid w:val="00880D1A"/>
    <w:rsid w:val="008878B2"/>
    <w:rsid w:val="00890CEF"/>
    <w:rsid w:val="00896046"/>
    <w:rsid w:val="008B6FAC"/>
    <w:rsid w:val="008D3D30"/>
    <w:rsid w:val="00900E75"/>
    <w:rsid w:val="00902518"/>
    <w:rsid w:val="00911300"/>
    <w:rsid w:val="0092108C"/>
    <w:rsid w:val="009335AC"/>
    <w:rsid w:val="009346DB"/>
    <w:rsid w:val="009347BA"/>
    <w:rsid w:val="00943CEA"/>
    <w:rsid w:val="00956CF8"/>
    <w:rsid w:val="00964A5E"/>
    <w:rsid w:val="009652D2"/>
    <w:rsid w:val="009717A3"/>
    <w:rsid w:val="009811DB"/>
    <w:rsid w:val="009917E8"/>
    <w:rsid w:val="00991FF6"/>
    <w:rsid w:val="009A1A98"/>
    <w:rsid w:val="009A1ADA"/>
    <w:rsid w:val="009B2BEF"/>
    <w:rsid w:val="009C7300"/>
    <w:rsid w:val="009E6941"/>
    <w:rsid w:val="009F500C"/>
    <w:rsid w:val="00A12A8B"/>
    <w:rsid w:val="00A24990"/>
    <w:rsid w:val="00A31CA8"/>
    <w:rsid w:val="00A33481"/>
    <w:rsid w:val="00A41243"/>
    <w:rsid w:val="00A43AC2"/>
    <w:rsid w:val="00A51F09"/>
    <w:rsid w:val="00A520F4"/>
    <w:rsid w:val="00A65ED3"/>
    <w:rsid w:val="00A77236"/>
    <w:rsid w:val="00AA6AE2"/>
    <w:rsid w:val="00AD34B0"/>
    <w:rsid w:val="00AD4E7F"/>
    <w:rsid w:val="00AE0A9B"/>
    <w:rsid w:val="00AF2844"/>
    <w:rsid w:val="00B0480D"/>
    <w:rsid w:val="00B1505A"/>
    <w:rsid w:val="00B220EB"/>
    <w:rsid w:val="00B27443"/>
    <w:rsid w:val="00B35D30"/>
    <w:rsid w:val="00B37562"/>
    <w:rsid w:val="00B4142C"/>
    <w:rsid w:val="00B43A56"/>
    <w:rsid w:val="00B43DDC"/>
    <w:rsid w:val="00B45851"/>
    <w:rsid w:val="00B47BF3"/>
    <w:rsid w:val="00B51467"/>
    <w:rsid w:val="00B60C24"/>
    <w:rsid w:val="00B94851"/>
    <w:rsid w:val="00B95C03"/>
    <w:rsid w:val="00BA5FE0"/>
    <w:rsid w:val="00BA7107"/>
    <w:rsid w:val="00BB44D6"/>
    <w:rsid w:val="00BD0BD6"/>
    <w:rsid w:val="00BD417F"/>
    <w:rsid w:val="00BD4D89"/>
    <w:rsid w:val="00BD631A"/>
    <w:rsid w:val="00C03E71"/>
    <w:rsid w:val="00C30785"/>
    <w:rsid w:val="00C535A8"/>
    <w:rsid w:val="00C62606"/>
    <w:rsid w:val="00C84AB6"/>
    <w:rsid w:val="00C920F3"/>
    <w:rsid w:val="00C9389F"/>
    <w:rsid w:val="00CB2994"/>
    <w:rsid w:val="00CB56FA"/>
    <w:rsid w:val="00CC0D78"/>
    <w:rsid w:val="00CC7F5D"/>
    <w:rsid w:val="00CD3195"/>
    <w:rsid w:val="00CD5FC7"/>
    <w:rsid w:val="00CE2BDD"/>
    <w:rsid w:val="00CF30F1"/>
    <w:rsid w:val="00CF7401"/>
    <w:rsid w:val="00D013E5"/>
    <w:rsid w:val="00D0172F"/>
    <w:rsid w:val="00D029DB"/>
    <w:rsid w:val="00D03844"/>
    <w:rsid w:val="00D10349"/>
    <w:rsid w:val="00D15B75"/>
    <w:rsid w:val="00D31678"/>
    <w:rsid w:val="00D3633F"/>
    <w:rsid w:val="00D41E74"/>
    <w:rsid w:val="00D420F6"/>
    <w:rsid w:val="00D44696"/>
    <w:rsid w:val="00D50725"/>
    <w:rsid w:val="00D52EC2"/>
    <w:rsid w:val="00D65190"/>
    <w:rsid w:val="00D716AD"/>
    <w:rsid w:val="00D972DD"/>
    <w:rsid w:val="00DA04B8"/>
    <w:rsid w:val="00DB75DA"/>
    <w:rsid w:val="00DE22EF"/>
    <w:rsid w:val="00DF1ABC"/>
    <w:rsid w:val="00DF26C3"/>
    <w:rsid w:val="00DF3CAC"/>
    <w:rsid w:val="00E040DC"/>
    <w:rsid w:val="00E061DD"/>
    <w:rsid w:val="00E065F7"/>
    <w:rsid w:val="00E14FAF"/>
    <w:rsid w:val="00E20D4C"/>
    <w:rsid w:val="00E346C3"/>
    <w:rsid w:val="00E4762A"/>
    <w:rsid w:val="00E56262"/>
    <w:rsid w:val="00E661D6"/>
    <w:rsid w:val="00E67612"/>
    <w:rsid w:val="00E7043D"/>
    <w:rsid w:val="00E7118F"/>
    <w:rsid w:val="00E71FB5"/>
    <w:rsid w:val="00E82BE1"/>
    <w:rsid w:val="00E859B7"/>
    <w:rsid w:val="00E92639"/>
    <w:rsid w:val="00E92CE9"/>
    <w:rsid w:val="00E9561E"/>
    <w:rsid w:val="00E9580A"/>
    <w:rsid w:val="00EB0151"/>
    <w:rsid w:val="00EB4256"/>
    <w:rsid w:val="00EC52AE"/>
    <w:rsid w:val="00EC5A0D"/>
    <w:rsid w:val="00EC6C6B"/>
    <w:rsid w:val="00ED0057"/>
    <w:rsid w:val="00ED7D11"/>
    <w:rsid w:val="00EE19F2"/>
    <w:rsid w:val="00EE7E43"/>
    <w:rsid w:val="00EF78FB"/>
    <w:rsid w:val="00F20C3E"/>
    <w:rsid w:val="00F36431"/>
    <w:rsid w:val="00F439EA"/>
    <w:rsid w:val="00F525B9"/>
    <w:rsid w:val="00F65E24"/>
    <w:rsid w:val="00F70BF0"/>
    <w:rsid w:val="00F72759"/>
    <w:rsid w:val="00F84111"/>
    <w:rsid w:val="00F84C75"/>
    <w:rsid w:val="00F96DE7"/>
    <w:rsid w:val="00FB23FB"/>
    <w:rsid w:val="00FB26EB"/>
    <w:rsid w:val="00FB339F"/>
    <w:rsid w:val="00FC7D76"/>
    <w:rsid w:val="00FE3497"/>
    <w:rsid w:val="00FE600A"/>
    <w:rsid w:val="00FE788D"/>
    <w:rsid w:val="00FF1007"/>
    <w:rsid w:val="00FF3487"/>
    <w:rsid w:val="00FF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7AEAB-9841-4AB8-90AA-51886960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BD6"/>
    <w:pPr>
      <w:ind w:firstLine="36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061DD"/>
    <w:pPr>
      <w:numPr>
        <w:numId w:val="2"/>
      </w:num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78570D"/>
    <w:pPr>
      <w:numPr>
        <w:ilvl w:val="1"/>
        <w:numId w:val="2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70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70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70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70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70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70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70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B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1DD"/>
    <w:rPr>
      <w:rFonts w:ascii="Times New Roman" w:hAnsi="Times New Roman" w:cs="Times New Roman"/>
      <w:b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570D"/>
    <w:rPr>
      <w:rFonts w:ascii="Times New Roman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39"/>
    <w:rsid w:val="004C3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8570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70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70D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70D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70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7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7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PlaceholderText">
    <w:name w:val="Placeholder Text"/>
    <w:basedOn w:val="DefaultParagraphFont"/>
    <w:uiPriority w:val="99"/>
    <w:semiHidden/>
    <w:rsid w:val="001F7F26"/>
    <w:rPr>
      <w:color w:val="808080"/>
    </w:rPr>
  </w:style>
  <w:style w:type="paragraph" w:styleId="NoSpacing">
    <w:name w:val="No Spacing"/>
    <w:uiPriority w:val="1"/>
    <w:qFormat/>
    <w:rsid w:val="009A1ADA"/>
    <w:pPr>
      <w:spacing w:after="0" w:line="240" w:lineRule="auto"/>
      <w:ind w:firstLine="360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224</cp:revision>
  <dcterms:created xsi:type="dcterms:W3CDTF">2020-09-17T13:23:00Z</dcterms:created>
  <dcterms:modified xsi:type="dcterms:W3CDTF">2020-10-01T07:48:00Z</dcterms:modified>
</cp:coreProperties>
</file>