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  <w:r w:rsidR="00781C49">
        <w:rPr>
          <w:b/>
        </w:rPr>
        <w:t>prop</w:t>
      </w:r>
      <w:proofErr w:type="spellEnd"/>
    </w:p>
    <w:p w:rsidR="00431C2B" w:rsidRDefault="00262437" w:rsidP="00625730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86.4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542B45">
        <w:t>SIRQN</w:t>
      </w:r>
      <w:r w:rsidR="009C0C09">
        <w:t>noNR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262437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262437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262437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262437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262437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262437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262437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262437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262437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262437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262437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262437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262437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262437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262437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tbQ0tzA2M7S0MLNQ0lEKTi0uzszPAykwrAUA5Qtwcy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437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D6667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1C49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085C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258A-DB4B-4773-8AE0-3076B6D7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195</cp:revision>
  <dcterms:created xsi:type="dcterms:W3CDTF">2020-08-06T09:49:00Z</dcterms:created>
  <dcterms:modified xsi:type="dcterms:W3CDTF">2020-11-05T14:26:00Z</dcterms:modified>
</cp:coreProperties>
</file>