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TechCorp Vendor Contract Summary</w:t>
      </w:r>
    </w:p>
    <w:p>
      <w:pPr>
        <w:pStyle w:val="Heading2"/>
      </w:pPr>
      <w:r>
        <w:t>Vendor: CloudHost Inc.</w:t>
      </w:r>
    </w:p>
    <w:p>
      <w:r>
        <w:t>Contract Period: January 2025 - December 2027. Annual Value: $2.4 million. Services: Cloud infrastructure hosting (AWS managed services). SLA: 99.95% uptime guarantee with $50,000 penalty per 0.01% below threshold. Termination: 90-day written notice required. Early termination fee: 6 months of remaining contract value.</w:t>
      </w:r>
    </w:p>
    <w:p>
      <w:pPr>
        <w:pStyle w:val="Heading2"/>
      </w:pPr>
      <w:r>
        <w:t>Vendor: SecureAuth Systems</w:t>
      </w:r>
    </w:p>
    <w:p>
      <w:r>
        <w:t>Contract Period: March 2025 - February 2026 (auto-renews annually). Annual Value: $180,000. Services: Identity and access management platform, SSO integration. SLA: 99.9% uptime, 4-hour response time for critical issues. Data Handling: SOC 2 Type II certified. All data encrypted at rest and in transit.</w:t>
      </w:r>
    </w:p>
    <w:p>
      <w:pPr>
        <w:pStyle w:val="Heading2"/>
      </w:pPr>
      <w:r>
        <w:t>Vendor: DataPipe Analytics</w:t>
      </w:r>
    </w:p>
    <w:p>
      <w:r>
        <w:t>Contract Period: June 2025 - May 2027. Annual Value: $350,000. Services: Data pipeline management, ETL processing, real-time analytics dashboard. SLA: 99.5% pipeline availability, data freshness within 15 minutes. Termination: 60-day notice. No early termination fee after first 12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