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v2.0</w:t>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pPr>
      <w:r>
        <w:rPr/>
        <w:t>Last Revised:  May 10, 2018</w:t>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IndexLink"/>
          </w:rPr>
          <w:t>1Introduction</w:t>
          <w:tab/>
          <w:t>2</w:t>
        </w:r>
      </w:hyperlink>
    </w:p>
    <w:p>
      <w:pPr>
        <w:pStyle w:val="Contents2"/>
        <w:tabs>
          <w:tab w:val="right" w:pos="8986" w:leader="dot"/>
        </w:tabs>
        <w:rPr/>
      </w:pPr>
      <w:hyperlink w:anchor="__RefHeading___Toc737_1060218858">
        <w:r>
          <w:rPr>
            <w:rStyle w:val="IndexLink"/>
          </w:rPr>
          <w:t>1.1Pause Functionality</w:t>
          <w:tab/>
          <w:t>2</w:t>
        </w:r>
      </w:hyperlink>
    </w:p>
    <w:p>
      <w:pPr>
        <w:pStyle w:val="Contents2"/>
        <w:tabs>
          <w:tab w:val="right" w:pos="8986" w:leader="dot"/>
        </w:tabs>
        <w:rPr/>
      </w:pPr>
      <w:hyperlink w:anchor="__RefHeading___Toc1888_1567564547">
        <w:r>
          <w:rPr>
            <w:rStyle w:val="IndexLink"/>
          </w:rPr>
          <w:t>1.2Repeat Harvesting</w:t>
          <w:tab/>
          <w:t>2</w:t>
        </w:r>
      </w:hyperlink>
    </w:p>
    <w:p>
      <w:pPr>
        <w:pStyle w:val="Contents2"/>
        <w:tabs>
          <w:tab w:val="right" w:pos="8986" w:leader="dot"/>
        </w:tabs>
        <w:rPr/>
      </w:pPr>
      <w:hyperlink w:anchor="__RefHeading___Toc1094_2519970942">
        <w:r>
          <w:rPr>
            <w:rStyle w:val="IndexLink"/>
          </w:rPr>
          <w:t>1.3Requirements</w:t>
          <w:tab/>
          <w:t>2</w:t>
        </w:r>
      </w:hyperlink>
    </w:p>
    <w:p>
      <w:pPr>
        <w:pStyle w:val="Contents2"/>
        <w:tabs>
          <w:tab w:val="right" w:pos="8986" w:leader="dot"/>
        </w:tabs>
        <w:rPr/>
      </w:pPr>
      <w:hyperlink w:anchor="__RefHeading___Toc956_1133946149">
        <w:r>
          <w:rPr>
            <w:rStyle w:val="IndexLink"/>
          </w:rPr>
          <w:t>1.4Revision History</w:t>
          <w:tab/>
          <w:t>4</w:t>
        </w:r>
      </w:hyperlink>
    </w:p>
    <w:p>
      <w:pPr>
        <w:pStyle w:val="Contents3"/>
        <w:tabs>
          <w:tab w:val="right" w:pos="8986" w:leader="dot"/>
        </w:tabs>
        <w:rPr/>
      </w:pPr>
      <w:hyperlink w:anchor="__RefHeading___Toc958_1133946149">
        <w:r>
          <w:rPr>
            <w:rStyle w:val="IndexLink"/>
          </w:rPr>
          <w:t>1.4.1Version 2.0</w:t>
          <w:tab/>
          <w:t>4</w:t>
        </w:r>
      </w:hyperlink>
    </w:p>
    <w:p>
      <w:pPr>
        <w:pStyle w:val="Contents3"/>
        <w:tabs>
          <w:tab w:val="right" w:pos="8986" w:leader="dot"/>
        </w:tabs>
        <w:rPr/>
      </w:pPr>
      <w:hyperlink w:anchor="__RefHeading___Toc745_1060218858">
        <w:r>
          <w:rPr>
            <w:rStyle w:val="IndexLink"/>
          </w:rPr>
          <w:t>1.4.2Version 1.2</w:t>
          <w:tab/>
          <w:t>4</w:t>
        </w:r>
      </w:hyperlink>
    </w:p>
    <w:p>
      <w:pPr>
        <w:pStyle w:val="Contents3"/>
        <w:tabs>
          <w:tab w:val="right" w:pos="8986" w:leader="dot"/>
        </w:tabs>
        <w:rPr/>
      </w:pPr>
      <w:hyperlink w:anchor="__RefHeading___Toc1098_2519970942">
        <w:r>
          <w:rPr>
            <w:rStyle w:val="IndexLink"/>
          </w:rPr>
          <w:t>1.4.3Version 1.1</w:t>
          <w:tab/>
          <w:t>4</w:t>
        </w:r>
      </w:hyperlink>
    </w:p>
    <w:p>
      <w:pPr>
        <w:pStyle w:val="Contents3"/>
        <w:tabs>
          <w:tab w:val="right" w:pos="8986" w:leader="dot"/>
        </w:tabs>
        <w:rPr/>
      </w:pPr>
      <w:hyperlink w:anchor="__RefHeading___Toc1100_2519970942">
        <w:r>
          <w:rPr>
            <w:rStyle w:val="IndexLink"/>
          </w:rPr>
          <w:t>1.4.4Version 1</w:t>
          <w:tab/>
          <w:t>4</w:t>
        </w:r>
      </w:hyperlink>
    </w:p>
    <w:p>
      <w:pPr>
        <w:pStyle w:val="Contents2"/>
        <w:tabs>
          <w:tab w:val="right" w:pos="8986" w:leader="dot"/>
        </w:tabs>
        <w:rPr/>
      </w:pPr>
      <w:hyperlink w:anchor="__RefHeading___Toc1102_2519970942">
        <w:r>
          <w:rPr>
            <w:rStyle w:val="IndexLink"/>
          </w:rPr>
          <w:t>1.5Acknowledgements</w:t>
          <w:tab/>
          <w:t>4</w:t>
        </w:r>
      </w:hyperlink>
    </w:p>
    <w:p>
      <w:pPr>
        <w:pStyle w:val="Contents1"/>
        <w:tabs>
          <w:tab w:val="right" w:pos="8986" w:leader="dot"/>
        </w:tabs>
        <w:rPr/>
      </w:pPr>
      <w:hyperlink w:anchor="__RefHeading___Toc1104_2519970942">
        <w:r>
          <w:rPr>
            <w:rStyle w:val="IndexLink"/>
          </w:rPr>
          <w:t>2Input Files</w:t>
          <w:tab/>
          <w:t>5</w:t>
        </w:r>
      </w:hyperlink>
    </w:p>
    <w:p>
      <w:pPr>
        <w:pStyle w:val="Contents2"/>
        <w:tabs>
          <w:tab w:val="right" w:pos="8986" w:leader="dot"/>
        </w:tabs>
        <w:rPr/>
      </w:pPr>
      <w:hyperlink w:anchor="__RefHeading___Toc1106_2519970942">
        <w:r>
          <w:rPr>
            <w:rStyle w:val="IndexLink"/>
          </w:rPr>
          <w:t>1.1Land Use Maps</w:t>
          <w:tab/>
          <w:t>5</w:t>
        </w:r>
      </w:hyperlink>
    </w:p>
    <w:p>
      <w:pPr>
        <w:pStyle w:val="Contents3"/>
        <w:tabs>
          <w:tab w:val="right" w:pos="8986" w:leader="dot"/>
        </w:tabs>
        <w:rPr/>
      </w:pPr>
      <w:hyperlink w:anchor="__RefHeading___Toc1108_2519970942">
        <w:r>
          <w:rPr>
            <w:rStyle w:val="IndexLink"/>
          </w:rPr>
          <w:t>1.1.1Land Use Change Events</w:t>
          <w:tab/>
          <w:t>5</w:t>
        </w:r>
      </w:hyperlink>
    </w:p>
    <w:p>
      <w:pPr>
        <w:pStyle w:val="Contents2"/>
        <w:tabs>
          <w:tab w:val="right" w:pos="8986" w:leader="dot"/>
        </w:tabs>
        <w:rPr/>
      </w:pPr>
      <w:hyperlink w:anchor="__RefHeading___Toc1110_2519970942">
        <w:r>
          <w:rPr>
            <w:rStyle w:val="IndexLink"/>
          </w:rPr>
          <w:t>1.2Input Parameters</w:t>
          <w:tab/>
          <w:t>5</w:t>
        </w:r>
      </w:hyperlink>
    </w:p>
    <w:p>
      <w:pPr>
        <w:pStyle w:val="Contents3"/>
        <w:tabs>
          <w:tab w:val="right" w:pos="8986" w:leader="dot"/>
        </w:tabs>
        <w:rPr/>
      </w:pPr>
      <w:hyperlink w:anchor="__RefHeading___Toc1112_2519970942">
        <w:r>
          <w:rPr>
            <w:rStyle w:val="IndexLink"/>
          </w:rPr>
          <w:t>1.2.1LandisData</w:t>
          <w:tab/>
          <w:t>5</w:t>
        </w:r>
      </w:hyperlink>
    </w:p>
    <w:p>
      <w:pPr>
        <w:pStyle w:val="Contents3"/>
        <w:tabs>
          <w:tab w:val="right" w:pos="8986" w:leader="dot"/>
        </w:tabs>
        <w:rPr/>
      </w:pPr>
      <w:hyperlink w:anchor="__RefHeading___Toc1114_2519970942">
        <w:r>
          <w:rPr>
            <w:rStyle w:val="IndexLink"/>
          </w:rPr>
          <w:t>1.2.2Timestep</w:t>
          <w:tab/>
          <w:t>5</w:t>
        </w:r>
      </w:hyperlink>
    </w:p>
    <w:p>
      <w:pPr>
        <w:pStyle w:val="Contents3"/>
        <w:tabs>
          <w:tab w:val="right" w:pos="8986" w:leader="dot"/>
        </w:tabs>
        <w:rPr/>
      </w:pPr>
      <w:hyperlink w:anchor="__RefHeading___Toc1116_2519970942">
        <w:r>
          <w:rPr>
            <w:rStyle w:val="IndexLink"/>
          </w:rPr>
          <w:t>1.2.3InputMaps</w:t>
          <w:tab/>
          <w:t>5</w:t>
        </w:r>
      </w:hyperlink>
    </w:p>
    <w:p>
      <w:pPr>
        <w:pStyle w:val="Contents3"/>
        <w:tabs>
          <w:tab w:val="right" w:pos="8986" w:leader="dot"/>
        </w:tabs>
        <w:rPr/>
      </w:pPr>
      <w:hyperlink w:anchor="__RefHeading___Toc1027_3159600073">
        <w:r>
          <w:rPr>
            <w:rStyle w:val="IndexLink"/>
          </w:rPr>
          <w:t>1.2.4 SiteLog</w:t>
          <w:tab/>
          <w:t>6</w:t>
        </w:r>
      </w:hyperlink>
    </w:p>
    <w:p>
      <w:pPr>
        <w:pStyle w:val="Contents3"/>
        <w:tabs>
          <w:tab w:val="right" w:pos="8986" w:leader="dot"/>
        </w:tabs>
        <w:rPr/>
      </w:pPr>
      <w:hyperlink w:anchor="__RefHeading___Toc1029_3159600073">
        <w:r>
          <w:rPr>
            <w:rStyle w:val="IndexLink"/>
          </w:rPr>
          <w:t>1.2.5ExternalExecutable</w:t>
          <w:tab/>
          <w:t>6</w:t>
        </w:r>
      </w:hyperlink>
    </w:p>
    <w:p>
      <w:pPr>
        <w:pStyle w:val="Contents3"/>
        <w:tabs>
          <w:tab w:val="right" w:pos="8986" w:leader="dot"/>
        </w:tabs>
        <w:rPr/>
      </w:pPr>
      <w:hyperlink w:anchor="__RefHeading___Toc1031_3159600073">
        <w:r>
          <w:rPr>
            <w:rStyle w:val="IndexLink"/>
          </w:rPr>
          <w:t>1.2.6ExternalScript</w:t>
          <w:tab/>
          <w:t>6</w:t>
        </w:r>
      </w:hyperlink>
    </w:p>
    <w:p>
      <w:pPr>
        <w:pStyle w:val="Contents3"/>
        <w:tabs>
          <w:tab w:val="right" w:pos="8986" w:leader="dot"/>
        </w:tabs>
        <w:rPr/>
      </w:pPr>
      <w:hyperlink w:anchor="__RefHeading___Toc1063_3159600073">
        <w:r>
          <w:rPr>
            <w:rStyle w:val="IndexLink"/>
          </w:rPr>
          <w:t>1.2.7ExternalCommand</w:t>
          <w:tab/>
          <w:t>6</w:t>
        </w:r>
      </w:hyperlink>
    </w:p>
    <w:p>
      <w:pPr>
        <w:pStyle w:val="Contents3"/>
        <w:tabs>
          <w:tab w:val="right" w:pos="8986" w:leader="dot"/>
        </w:tabs>
        <w:rPr/>
      </w:pPr>
      <w:hyperlink w:anchor="__RefHeading___Toc1098_3159600073">
        <w:r>
          <w:rPr>
            <w:rStyle w:val="IndexLink"/>
          </w:rPr>
          <w:t>1.2.8Land Uses</w:t>
          <w:tab/>
          <w:t>6</w:t>
        </w:r>
      </w:hyperlink>
    </w:p>
    <w:p>
      <w:pPr>
        <w:pStyle w:val="Contents1"/>
        <w:tabs>
          <w:tab w:val="right" w:pos="8986" w:leader="dot"/>
        </w:tabs>
        <w:rPr/>
      </w:pPr>
      <w:hyperlink w:anchor="__RefHeading___Toc1122_2519970942">
        <w:r>
          <w:rPr>
            <w:rStyle w:val="IndexLink"/>
          </w:rPr>
          <w:t>2Land Use Definitions</w:t>
          <w:tab/>
          <w:t>8</w:t>
        </w:r>
      </w:hyperlink>
    </w:p>
    <w:p>
      <w:pPr>
        <w:pStyle w:val="Contents2"/>
        <w:tabs>
          <w:tab w:val="right" w:pos="8986" w:leader="dot"/>
        </w:tabs>
        <w:rPr/>
      </w:pPr>
      <w:hyperlink w:anchor="__RefHeading___Toc1124_2519970942">
        <w:r>
          <w:rPr>
            <w:rStyle w:val="IndexLink"/>
          </w:rPr>
          <w:t>2.1LandUse</w:t>
          <w:tab/>
          <w:t>8</w:t>
        </w:r>
      </w:hyperlink>
    </w:p>
    <w:p>
      <w:pPr>
        <w:pStyle w:val="Contents2"/>
        <w:tabs>
          <w:tab w:val="right" w:pos="8986" w:leader="dot"/>
        </w:tabs>
        <w:rPr/>
      </w:pPr>
      <w:hyperlink w:anchor="__RefHeading___Toc1126_2519970942">
        <w:r>
          <w:rPr>
            <w:rStyle w:val="IndexLink"/>
          </w:rPr>
          <w:t>2.2MapCode</w:t>
          <w:tab/>
          <w:t>8</w:t>
        </w:r>
      </w:hyperlink>
    </w:p>
    <w:p>
      <w:pPr>
        <w:pStyle w:val="Contents2"/>
        <w:tabs>
          <w:tab w:val="right" w:pos="8986" w:leader="dot"/>
        </w:tabs>
        <w:rPr/>
      </w:pPr>
      <w:hyperlink w:anchor="__RefHeading___Toc2381_2042586617">
        <w:r>
          <w:rPr>
            <w:rStyle w:val="IndexLink"/>
          </w:rPr>
          <w:t>2.3PreventEstablishment</w:t>
          <w:tab/>
          <w:t>8</w:t>
        </w:r>
      </w:hyperlink>
    </w:p>
    <w:p>
      <w:pPr>
        <w:pStyle w:val="Contents2"/>
        <w:tabs>
          <w:tab w:val="right" w:pos="8986" w:leader="dot"/>
        </w:tabs>
        <w:rPr/>
      </w:pPr>
      <w:hyperlink w:anchor="__RefHeading___Toc1128_2519970942">
        <w:r>
          <w:rPr>
            <w:rStyle w:val="IndexLink"/>
          </w:rPr>
          <w:t>2.4AllowHarvest?</w:t>
          <w:tab/>
          <w:t>8</w:t>
        </w:r>
      </w:hyperlink>
    </w:p>
    <w:p>
      <w:pPr>
        <w:pStyle w:val="Contents2"/>
        <w:tabs>
          <w:tab w:val="right" w:pos="8986" w:leader="dot"/>
        </w:tabs>
        <w:rPr/>
      </w:pPr>
      <w:hyperlink w:anchor="__RefHeading___Toc1130_2519970942">
        <w:r>
          <w:rPr>
            <w:rStyle w:val="IndexLink"/>
          </w:rPr>
          <w:t>2.5LandCoverChange</w:t>
          <w:tab/>
          <w:t>9</w:t>
        </w:r>
      </w:hyperlink>
    </w:p>
    <w:p>
      <w:pPr>
        <w:pStyle w:val="Contents2"/>
        <w:tabs>
          <w:tab w:val="right" w:pos="8986" w:leader="dot"/>
        </w:tabs>
        <w:rPr/>
      </w:pPr>
      <w:hyperlink w:anchor="__RefHeading___Toc1132_2519970942">
        <w:r>
          <w:rPr>
            <w:rStyle w:val="IndexLink"/>
          </w:rPr>
          <w:t>2.6Parameters When Removing Trees</w:t>
          <w:tab/>
          <w:t>10</w:t>
        </w:r>
      </w:hyperlink>
    </w:p>
    <w:p>
      <w:pPr>
        <w:pStyle w:val="Contents3"/>
        <w:tabs>
          <w:tab w:val="right" w:pos="8986" w:leader="dot"/>
        </w:tabs>
        <w:rPr/>
      </w:pPr>
      <w:hyperlink w:anchor="__RefHeading___Toc1134_2519970942">
        <w:r>
          <w:rPr>
            <w:rStyle w:val="IndexLink"/>
          </w:rPr>
          <w:t>2.6.1Species List</w:t>
          <w:tab/>
          <w:t>10</w:t>
        </w:r>
      </w:hyperlink>
    </w:p>
    <w:p>
      <w:pPr>
        <w:pStyle w:val="Contents3"/>
        <w:tabs>
          <w:tab w:val="right" w:pos="8986" w:leader="dot"/>
        </w:tabs>
        <w:rPr/>
      </w:pPr>
      <w:hyperlink w:anchor="__RefHeading___Toc1136_2519970942">
        <w:r>
          <w:rPr>
            <w:rStyle w:val="IndexLink"/>
          </w:rPr>
          <w:t>2.6.2Plant</w:t>
          <w:tab/>
          <w:t>10</w:t>
        </w:r>
      </w:hyperlink>
    </w:p>
    <w:p>
      <w:pPr>
        <w:pStyle w:val="Contents2"/>
        <w:tabs>
          <w:tab w:val="right" w:pos="8986" w:leader="dot"/>
        </w:tabs>
        <w:rPr/>
      </w:pPr>
      <w:hyperlink w:anchor="__RefHeading___Toc782_1133946149">
        <w:r>
          <w:rPr>
            <w:rStyle w:val="IndexLink"/>
          </w:rPr>
          <w:t>2.7Parameters for InsectDefoliation</w:t>
          <w:tab/>
          <w:t>10</w:t>
        </w:r>
      </w:hyperlink>
    </w:p>
    <w:p>
      <w:pPr>
        <w:pStyle w:val="Contents1"/>
        <w:tabs>
          <w:tab w:val="right" w:pos="8986" w:leader="dot"/>
        </w:tabs>
        <w:rPr/>
      </w:pPr>
      <w:hyperlink w:anchor="__RefHeading___Toc1140_2519970942">
        <w:r>
          <w:rPr>
            <w:rStyle w:val="IndexLink"/>
          </w:rPr>
          <w:t>3Example Input File</w:t>
          <w:tab/>
          <w:t>12</w:t>
        </w:r>
      </w:hyperlink>
      <w:r>
        <w:fldChar w:fldCharType="end"/>
      </w:r>
    </w:p>
    <w:p>
      <w:pPr>
        <w:pStyle w:val="Heading1"/>
        <w:numPr>
          <w:ilvl w:val="0"/>
          <w:numId w:val="2"/>
        </w:numPr>
        <w:rPr/>
      </w:pPr>
      <w:bookmarkStart w:id="2" w:name="__RefHeading___Toc1092_2519970942"/>
      <w:bookmarkStart w:id="3" w:name="_Ref75418953"/>
      <w:bookmarkStart w:id="4" w:name="_Toc445447570"/>
      <w:bookmarkStart w:id="5" w:name="_Toc102232953"/>
      <w:bookmarkEnd w:id="2"/>
      <w:bookmarkEnd w:id="3"/>
      <w:bookmarkEnd w:id="4"/>
      <w:bookmarkEnd w:id="5"/>
      <w:r>
        <w:rPr/>
        <w:t>Introduction</w:t>
      </w:r>
    </w:p>
    <w:p>
      <w:pPr>
        <w:pStyle w:val="Textbody1"/>
        <w:rPr/>
      </w:pPr>
      <w:r>
        <w:rPr/>
        <w:t xml:space="preserve">This document describes the Land Use extension (LU+) 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In LU+,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as in the case of a new conservation easement or forest preserve being established.</w:t>
      </w:r>
    </w:p>
    <w:p>
      <w:pPr>
        <w:pStyle w:val="Textbody1"/>
        <w:rPr>
          <w:b/>
          <w:b/>
          <w:bCs/>
        </w:rPr>
      </w:pPr>
      <w:r>
        <w:rPr>
          <w:b/>
          <w:bCs/>
        </w:rPr>
        <w:t xml:space="preserve">Important note: </w:t>
      </w:r>
      <w:r>
        <w:rPr>
          <w:b w:val="false"/>
          <w:bCs w:val="false"/>
        </w:rPr>
        <w:t xml:space="preserve">Land-Use Change is designed to operate with other extensions in a modular way within the framework of LANDIS-II. </w:t>
      </w:r>
      <w:r>
        <w:rPr>
          <w:b w:val="false"/>
          <w:bCs w:val="false"/>
          <w:u w:val="single"/>
        </w:rPr>
        <w:t>However, the order in which extensions are specified in the “scenario” input file to LANDIS-II may affect the outcome of simulation experiments.</w:t>
      </w:r>
      <w:r>
        <w:rPr>
          <w:b w:val="false"/>
          <w:bCs w:val="false"/>
          <w:u w:val="none"/>
        </w:rPr>
        <w:t xml:space="preserve"> For example, when implementing both the Biomass Harvest and the Land Use Change extension, both contain functionality for removing cohorts of trees from a landscape. Changing the order in which these extensions are specified in the “scenario” file changes the order that the logic is applied in the simulation, which can affect the outcome of simulations. </w:t>
      </w:r>
    </w:p>
    <w:p>
      <w:pPr>
        <w:pStyle w:val="Heading2"/>
        <w:numPr>
          <w:ilvl w:val="1"/>
          <w:numId w:val="2"/>
        </w:numPr>
        <w:rPr/>
      </w:pPr>
      <w:bookmarkStart w:id="6" w:name="__RefHeading___Toc737_1060218858"/>
      <w:bookmarkEnd w:id="6"/>
      <w:r>
        <w:rPr/>
        <w:t>Pause Functionality</w:t>
      </w:r>
    </w:p>
    <w:p>
      <w:pPr>
        <w:pStyle w:val="Textbody1"/>
        <w:rPr/>
      </w:pPr>
      <w:bookmarkStart w:id="7" w:name="__RefHeading___Toc739_1060218858"/>
      <w:bookmarkEnd w:id="7"/>
      <w:r>
        <w:rPr>
          <w:sz w:val="24"/>
          <w:szCs w:val="24"/>
        </w:rPr>
        <w:t xml:space="preserve">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 These parameters are documented in section (2). Land-Use will ignore pause functionality if none of the pause parameters are specified.  </w:t>
      </w:r>
    </w:p>
    <w:p>
      <w:pPr>
        <w:pStyle w:val="Heading2"/>
        <w:numPr>
          <w:ilvl w:val="1"/>
          <w:numId w:val="2"/>
        </w:numPr>
        <w:rPr/>
      </w:pPr>
      <w:bookmarkStart w:id="8" w:name="__RefHeading___Toc1888_1567564547"/>
      <w:bookmarkEnd w:id="8"/>
      <w:r>
        <w:rPr/>
        <w:t>Repeat Harvesting</w:t>
      </w:r>
    </w:p>
    <w:p>
      <w:pPr>
        <w:pStyle w:val="Heading2"/>
        <w:numPr>
          <w:ilvl w:val="0"/>
          <w:numId w:val="0"/>
        </w:numPr>
        <w:ind w:left="576" w:hanging="0"/>
        <w:rPr/>
      </w:pPr>
      <w:r>
        <w:rPr/>
        <w:t xml:space="preserve">(new in v2.0) - Harvest or </w:t>
      </w:r>
      <w:r>
        <w:rPr/>
        <w:t>defoliating</w:t>
      </w:r>
      <w:r>
        <w:rPr/>
        <w:t xml:space="preserve"> of tree cohorts can now take place yearly, despite the time-step being used in the model (RepeatHarvest on), or only the year when the pixel switches to the given land use type (RepeatHarvest off).</w:t>
      </w:r>
    </w:p>
    <w:p>
      <w:pPr>
        <w:pStyle w:val="Heading2"/>
        <w:numPr>
          <w:ilvl w:val="1"/>
          <w:numId w:val="2"/>
        </w:numPr>
        <w:rPr/>
      </w:pPr>
      <w:r>
        <w:rPr/>
        <w:t>Insect Defoliation</w:t>
      </w:r>
    </w:p>
    <w:p>
      <w:pPr>
        <w:pStyle w:val="Heading2"/>
        <w:numPr>
          <w:ilvl w:val="0"/>
          <w:numId w:val="0"/>
        </w:numPr>
        <w:ind w:left="576" w:hanging="0"/>
        <w:rPr/>
      </w:pPr>
      <w:r>
        <w:rPr/>
        <w:t xml:space="preserve">(new in v2.0) Land use categories can now include a percent defoliation to be applied to cohorts of trees for simulating insect outbreaks or other causes of defoliation. </w:t>
      </w:r>
      <w:r>
        <w:rPr/>
        <w:t xml:space="preserve">Different age cohorts of the same species can be defoliated in different proportions. </w:t>
      </w:r>
      <w:r>
        <w:rPr>
          <w:b/>
          <w:bCs/>
          <w:u w:val="single"/>
        </w:rPr>
        <w:t>InsectDefoliation</w:t>
      </w:r>
      <w:r>
        <w:rPr>
          <w:b/>
          <w:bCs/>
          <w:u w:val="single"/>
        </w:rPr>
        <w:t xml:space="preserve"> requires a specific version of the PnET Succession extension (see below)</w:t>
      </w:r>
    </w:p>
    <w:p>
      <w:pPr>
        <w:pStyle w:val="Heading2"/>
        <w:numPr>
          <w:ilvl w:val="1"/>
          <w:numId w:val="2"/>
        </w:numPr>
        <w:rPr/>
      </w:pPr>
      <w:bookmarkStart w:id="9" w:name="__RefHeading___Toc1094_2519970942"/>
      <w:bookmarkStart w:id="10" w:name="_Toc445447571"/>
      <w:bookmarkEnd w:id="9"/>
      <w:bookmarkEnd w:id="10"/>
      <w:r>
        <w:rPr/>
        <w:t>Requirements</w:t>
      </w:r>
    </w:p>
    <w:p>
      <w:pPr>
        <w:pStyle w:val="Textbody1"/>
        <w:rPr/>
      </w:pPr>
      <w:r>
        <w:rPr/>
        <w:t>This extension is compatible with LANDIS-II version 6 series. The libraries required for proper functioning of our extension are included on the deployment page of our GitHub:</w:t>
      </w:r>
    </w:p>
    <w:p>
      <w:pPr>
        <w:pStyle w:val="Textbody1"/>
        <w:rPr/>
      </w:pPr>
      <w:hyperlink r:id="rId3">
        <w:r>
          <w:rPr>
            <w:rStyle w:val="InternetLink"/>
          </w:rPr>
          <w:t>https://github.com/LANDIS-II-Foundation/Extension-Land-Use-Change/tree/master/deploy/libraries</w:t>
        </w:r>
      </w:hyperlink>
    </w:p>
    <w:p>
      <w:pPr>
        <w:pStyle w:val="Textbody1"/>
        <w:rPr/>
      </w:pPr>
      <w:r>
        <w:rPr/>
        <w:t>Use of these libraries requires installation of the proper version, listed below (LANDIS-II core libraries not included, should be standard):</w:t>
      </w:r>
    </w:p>
    <w:p>
      <w:pPr>
        <w:pStyle w:val="Textbody1"/>
        <w:rPr/>
      </w:pPr>
      <w:r>
        <w:rPr/>
        <w:t xml:space="preserve">Extension BiomassHarvest: v3.2+ </w:t>
      </w:r>
    </w:p>
    <w:p>
      <w:pPr>
        <w:pStyle w:val="Textbody1"/>
        <w:rPr/>
      </w:pPr>
      <w:r>
        <w:rPr/>
        <w:t>Extension PnET-Succession: v2.1+</w:t>
      </w:r>
    </w:p>
    <w:p>
      <w:pPr>
        <w:pStyle w:val="Textbody1"/>
        <w:rPr/>
      </w:pPr>
      <w:r>
        <w:rPr/>
        <w:t>(Insect Defoliation) Extension PnET-Succession: v2.</w:t>
      </w:r>
      <w:r>
        <w:rPr/>
        <w:t>2</w:t>
      </w:r>
      <w:r>
        <w:rPr/>
        <w:t xml:space="preserve"> (exact)</w:t>
      </w:r>
    </w:p>
    <w:p>
      <w:pPr>
        <w:pStyle w:val="Textbody1"/>
        <w:rPr/>
      </w:pPr>
      <w:r>
        <w:rPr/>
        <w:t>https://github.com/LANDIS-II-Foundation/Extension-PnET-Succession/tree/LUv2.0</w:t>
      </w:r>
    </w:p>
    <w:p>
      <w:pPr>
        <w:pStyle w:val="Textbody1"/>
        <w:rPr/>
      </w:pPr>
      <w:r>
        <w:rPr/>
        <w:t>(InsectDefoliation) Extension Output-PnET: v2.</w:t>
      </w:r>
      <w:r>
        <w:rPr/>
        <w:t>2</w:t>
      </w:r>
      <w:r>
        <w:rPr/>
        <w:t xml:space="preserve"> (exact)</w:t>
      </w:r>
    </w:p>
    <w:p>
      <w:pPr>
        <w:pStyle w:val="Textbody1"/>
        <w:rPr/>
      </w:pPr>
      <w:r>
        <w:rPr/>
        <w:t>https://github.com/LANDIS-II-Foundation/Extension-Output-Biomass-PnET/tree/LANDIS_6.2_LU_2.0</w:t>
      </w:r>
    </w:p>
    <w:p>
      <w:pPr>
        <w:pStyle w:val="Textbody1"/>
        <w:rPr/>
      </w:pPr>
      <w:r>
        <w:rPr/>
        <w:t>Extension Biomass Succession version 3.2+</w:t>
      </w:r>
    </w:p>
    <w:p>
      <w:pPr>
        <w:pStyle w:val="Textbody1"/>
        <w:rPr/>
      </w:pPr>
      <w:r>
        <w:rPr/>
        <w:t>Extension Output Biomass v2.1+ is required to output biomass maps.</w:t>
      </w:r>
    </w:p>
    <w:p>
      <w:pPr>
        <w:pStyle w:val="Textbody1"/>
        <w:rPr/>
      </w:pPr>
      <w:r>
        <w:rPr/>
        <w:t xml:space="preserve">Library AgeOnlyCohorts </w:t>
        <w:tab/>
        <w:t>Assembly Version: v2.1.5520.27591</w:t>
      </w:r>
    </w:p>
    <w:p>
      <w:pPr>
        <w:pStyle w:val="Textbody1"/>
        <w:rPr/>
      </w:pPr>
      <w:r>
        <w:rPr/>
        <w:t>Library Biomass-v1.0.1</w:t>
        <w:tab/>
        <w:tab/>
        <w:t>Assembly Version: 1.0.1.0</w:t>
      </w:r>
    </w:p>
    <w:p>
      <w:pPr>
        <w:pStyle w:val="Textbody1"/>
        <w:rPr/>
      </w:pPr>
      <w:r>
        <w:rPr/>
        <w:t>Library SiteHarvest-v1</w:t>
        <w:tab/>
        <w:tab/>
        <w:t>Assembly Version: 1.0.6492.27595</w:t>
      </w:r>
    </w:p>
    <w:p>
      <w:pPr>
        <w:pStyle w:val="Textbody1"/>
        <w:rPr/>
      </w:pPr>
      <w:r>
        <w:rPr/>
        <w:t>Library Succesion-v5</w:t>
        <w:tab/>
        <w:tab/>
        <w:t>Assembly Version: 5.0.6491.14006</w:t>
      </w:r>
      <w:r>
        <w:br w:type="page"/>
      </w:r>
    </w:p>
    <w:p>
      <w:pPr>
        <w:pStyle w:val="Heading2"/>
        <w:numPr>
          <w:ilvl w:val="1"/>
          <w:numId w:val="2"/>
        </w:numPr>
        <w:rPr/>
      </w:pPr>
      <w:bookmarkStart w:id="11" w:name="__RefHeading___Toc956_1133946149"/>
      <w:bookmarkStart w:id="12" w:name="_Toc445447572"/>
      <w:bookmarkEnd w:id="11"/>
      <w:bookmarkEnd w:id="12"/>
      <w:r>
        <w:rPr/>
        <w:t>Revision History</w:t>
      </w:r>
    </w:p>
    <w:p>
      <w:pPr>
        <w:pStyle w:val="Heading3"/>
        <w:numPr>
          <w:ilvl w:val="2"/>
          <w:numId w:val="2"/>
        </w:numPr>
        <w:rPr/>
      </w:pPr>
      <w:bookmarkStart w:id="13" w:name="__RefHeading___Toc958_1133946149"/>
      <w:bookmarkEnd w:id="13"/>
      <w:r>
        <w:rPr/>
        <w:t xml:space="preserve">Version 2.0 </w:t>
        <w:tab/>
      </w:r>
    </w:p>
    <w:p>
      <w:pPr>
        <w:pStyle w:val="Normal"/>
        <w:rPr/>
      </w:pPr>
      <w:r>
        <w:rPr>
          <w:u w:val="single"/>
        </w:rPr>
        <w:t>v2.0</w:t>
      </w:r>
      <w:r>
        <w:rPr>
          <w:u w:val="none"/>
        </w:rPr>
        <w:t xml:space="preserve"> - official release (May 2018) </w:t>
        <w:tab/>
        <w:tab/>
        <w:tab/>
        <w:tab/>
        <w:tab/>
        <w:tab/>
        <w:tab/>
        <w:tab/>
        <w:t>Support for repeat harvesting in LandCoverChanges on LandUses</w:t>
        <w:tab/>
        <w:tab/>
      </w:r>
    </w:p>
    <w:p>
      <w:pPr>
        <w:pStyle w:val="Normal"/>
        <w:rPr/>
      </w:pPr>
      <w:r>
        <w:rPr>
          <w:u w:val="none"/>
        </w:rPr>
        <w:tab/>
        <w:t xml:space="preserve">Multiple LandCoverChange types on LandUses </w:t>
        <w:tab/>
        <w:tab/>
        <w:tab/>
        <w:tab/>
      </w:r>
    </w:p>
    <w:p>
      <w:pPr>
        <w:pStyle w:val="Normal"/>
        <w:rPr/>
      </w:pPr>
      <w:r>
        <w:rPr>
          <w:u w:val="none"/>
        </w:rPr>
        <w:tab/>
        <w:t>Added InsectDefoliation as a new type of LandCoverChange type.</w:t>
      </w:r>
    </w:p>
    <w:p>
      <w:pPr>
        <w:pStyle w:val="Heading3"/>
        <w:numPr>
          <w:ilvl w:val="2"/>
          <w:numId w:val="2"/>
        </w:numPr>
        <w:rPr/>
      </w:pPr>
      <w:bookmarkStart w:id="14" w:name="__RefHeading___Toc745_1060218858"/>
      <w:bookmarkEnd w:id="14"/>
      <w:r>
        <w:rPr/>
        <w:t xml:space="preserve">Version 1.2 </w:t>
        <w:tab/>
      </w:r>
    </w:p>
    <w:p>
      <w:pPr>
        <w:pStyle w:val="Textbody1"/>
        <w:numPr>
          <w:ilvl w:val="0"/>
          <w:numId w:val="0"/>
        </w:numPr>
        <w:ind w:left="2304" w:right="1008" w:hanging="0"/>
        <w:rPr/>
      </w:pPr>
      <w:r>
        <w:rPr>
          <w:u w:val="single"/>
        </w:rPr>
        <w:t>v1.2</w:t>
      </w:r>
      <w:r>
        <w:rPr>
          <w:u w:val="none"/>
        </w:rPr>
        <w:t xml:space="preserve"> – official release (May 2017)</w:t>
      </w:r>
    </w:p>
    <w:p>
      <w:pPr>
        <w:pStyle w:val="Textbody1"/>
        <w:numPr>
          <w:ilvl w:val="0"/>
          <w:numId w:val="6"/>
        </w:numPr>
        <w:rPr/>
      </w:pPr>
      <w:r>
        <w:rPr>
          <w:u w:val="none"/>
        </w:rPr>
        <w:t>Pause functionality for transforming data between model run timesteps was added.</w:t>
      </w:r>
    </w:p>
    <w:p>
      <w:pPr>
        <w:pStyle w:val="Heading3"/>
        <w:numPr>
          <w:ilvl w:val="2"/>
          <w:numId w:val="2"/>
        </w:numPr>
        <w:ind w:left="864" w:hanging="864"/>
        <w:rPr/>
      </w:pPr>
      <w:bookmarkStart w:id="15" w:name="__RefHeading___Toc1098_2519970942"/>
      <w:bookmarkStart w:id="16" w:name="_Toc445447573"/>
      <w:bookmarkEnd w:id="15"/>
      <w:bookmarkEnd w:id="16"/>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7" w:name="__RefHeading___Toc1100_2519970942"/>
      <w:bookmarkStart w:id="18" w:name="_Toc445447574"/>
      <w:bookmarkEnd w:id="17"/>
      <w:bookmarkEnd w:id="18"/>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9" w:name="__RefHeading___Toc1102_2519970942"/>
      <w:bookmarkStart w:id="20" w:name="_Toc445447575"/>
      <w:bookmarkStart w:id="21" w:name="_Toc113770926"/>
      <w:bookmarkStart w:id="22" w:name="_Toc113769710"/>
      <w:bookmarkEnd w:id="19"/>
      <w:bookmarkEnd w:id="20"/>
      <w:bookmarkEnd w:id="21"/>
      <w:bookmarkEnd w:id="22"/>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23" w:name="_Toc133934414"/>
      <w:bookmarkStart w:id="24" w:name="_Toc102232959"/>
      <w:bookmarkStart w:id="25" w:name="_Toc445447576"/>
      <w:bookmarkStart w:id="26" w:name="__RefHeading___Toc1104_2519970942"/>
      <w:bookmarkEnd w:id="26"/>
      <w:r>
        <w:rPr/>
        <w:t>Input File</w:t>
      </w:r>
      <w:bookmarkEnd w:id="23"/>
      <w:bookmarkEnd w:id="24"/>
      <w:bookmarkEnd w:id="25"/>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Error: Reference source not found</w:t>
      </w:r>
      <w:r>
        <w:fldChar w:fldCharType="end"/>
      </w:r>
      <w:r>
        <w:rPr/>
        <w:t xml:space="preserve">) and a set of land use maps (section </w:t>
      </w:r>
      <w:r>
        <w:rPr/>
        <w:fldChar w:fldCharType="begin"/>
      </w:r>
      <w:r>
        <w:instrText> REF _Ref297133449 \r \h </w:instrText>
      </w:r>
      <w:r>
        <w:fldChar w:fldCharType="separate"/>
      </w:r>
      <w:r/>
      <w:r>
        <w:fldChar w:fldCharType="end"/>
      </w:r>
      <w:r>
        <w:rPr/>
        <w:t>). When using pause functionality, external scripts for a given programming language must be specified (see example R script at end of the documentation)</w:t>
      </w:r>
      <w:bookmarkStart w:id="27" w:name="_Toc445447577"/>
      <w:bookmarkStart w:id="28" w:name="_Ref297133449"/>
      <w:bookmarkEnd w:id="27"/>
      <w:bookmarkEnd w:id="28"/>
      <w:r>
        <w:rPr/>
        <w:t xml:space="preserve"> </w:t>
      </w:r>
    </w:p>
    <w:p>
      <w:pPr>
        <w:pStyle w:val="Heading2"/>
        <w:numPr>
          <w:ilvl w:val="1"/>
          <w:numId w:val="2"/>
        </w:numPr>
        <w:rPr/>
      </w:pPr>
      <w:bookmarkStart w:id="29" w:name="__RefHeading___Toc1106_2519970942"/>
      <w:bookmarkEnd w:id="29"/>
      <w:r>
        <w:rPr/>
        <w:t>Land Use Maps</w:t>
      </w:r>
    </w:p>
    <w:p>
      <w:pPr>
        <w:pStyle w:val="Textbody1"/>
        <w:rPr/>
      </w:pPr>
      <w:r>
        <w:rPr/>
        <w:t xml:space="preserve">This extension requires a time-series of thematic raster maps.  The maps represent the land uses for active sites throughout the simulation.  One land-use map must be provided for the first time step (0). Users can optionally supply maps for each extension time step, as well as using our Pause functionality to generate maps on-the-fly from model output at each timestep.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3.2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2.2.3</w:t>
      </w:r>
      <w:r>
        <w:fldChar w:fldCharType="end"/>
      </w:r>
      <w:r>
        <w:rPr/>
        <w:t>.</w:t>
      </w:r>
    </w:p>
    <w:p>
      <w:pPr>
        <w:pStyle w:val="Textbody1"/>
        <w:numPr>
          <w:ilvl w:val="2"/>
          <w:numId w:val="2"/>
        </w:numPr>
        <w:rPr/>
      </w:pPr>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3.5</w:t>
      </w:r>
      <w:r>
        <w:fldChar w:fldCharType="end"/>
      </w:r>
      <w:r>
        <w:rPr/>
        <w:t>) associated with the new land use, LU(</w:t>
      </w:r>
      <w:r>
        <w:rPr>
          <w:i/>
        </w:rPr>
        <w:t>site, t</w:t>
      </w:r>
      <w:r>
        <w:rPr/>
        <w:t>), to the site.</w:t>
      </w:r>
    </w:p>
    <w:p>
      <w:pPr>
        <w:pStyle w:val="Heading2"/>
        <w:numPr>
          <w:ilvl w:val="1"/>
          <w:numId w:val="2"/>
        </w:numPr>
        <w:rPr/>
      </w:pPr>
      <w:bookmarkStart w:id="30" w:name="__RefHeading___Toc1110_2519970942"/>
      <w:bookmarkEnd w:id="30"/>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2"/>
        </w:numPr>
        <w:ind w:left="864" w:hanging="864"/>
        <w:rPr/>
      </w:pPr>
      <w:bookmarkStart w:id="31" w:name="__RefHeading___Toc1112_2519970942"/>
      <w:bookmarkStart w:id="32" w:name="_Toc133934416"/>
      <w:bookmarkStart w:id="33" w:name="_Toc133907148"/>
      <w:bookmarkStart w:id="34" w:name="_Toc133386213"/>
      <w:bookmarkStart w:id="35" w:name="_Toc112235332"/>
      <w:bookmarkStart w:id="36" w:name="_Toc445447580"/>
      <w:bookmarkEnd w:id="31"/>
      <w:bookmarkEnd w:id="32"/>
      <w:bookmarkEnd w:id="33"/>
      <w:bookmarkEnd w:id="34"/>
      <w:bookmarkEnd w:id="35"/>
      <w:bookmarkEnd w:id="36"/>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2"/>
        </w:numPr>
        <w:ind w:left="864" w:hanging="864"/>
        <w:rPr/>
      </w:pPr>
      <w:bookmarkStart w:id="37" w:name="__RefHeading___Toc1114_2519970942"/>
      <w:bookmarkStart w:id="38" w:name="_Toc445447581"/>
      <w:bookmarkEnd w:id="37"/>
      <w:bookmarkEnd w:id="38"/>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2"/>
        </w:numPr>
        <w:ind w:left="864" w:hanging="864"/>
        <w:rPr/>
      </w:pPr>
      <w:bookmarkStart w:id="39" w:name="__RefHeading___Toc1116_2519970942"/>
      <w:bookmarkStart w:id="40" w:name="_Toc445447582"/>
      <w:bookmarkStart w:id="41" w:name="_Ref297139255"/>
      <w:bookmarkEnd w:id="39"/>
      <w:bookmarkEnd w:id="40"/>
      <w:bookmarkEnd w:id="41"/>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2"/>
        </w:numPr>
        <w:rPr/>
      </w:pPr>
      <w:bookmarkStart w:id="42" w:name="__RefHeading___Toc1027_3159600073"/>
      <w:bookmarkStart w:id="43" w:name="_Toc445447583"/>
      <w:bookmarkEnd w:id="42"/>
      <w:bookmarkEnd w:id="43"/>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2"/>
        </w:numPr>
        <w:rPr/>
      </w:pPr>
      <w:bookmarkStart w:id="44" w:name="__RefHeading___Toc1029_3159600073"/>
      <w:bookmarkEnd w:id="44"/>
      <w:r>
        <w:rPr/>
        <w:t>ExternalExecutable</w:t>
      </w:r>
    </w:p>
    <w:p>
      <w:pPr>
        <w:pStyle w:val="Normal"/>
        <w:numPr>
          <w:ilvl w:val="0"/>
          <w:numId w:val="0"/>
        </w:numPr>
        <w:ind w:left="720" w:hanging="0"/>
        <w:rPr/>
      </w:pPr>
      <w:bookmarkStart w:id="45" w:name="__RefHeading___Toc1393_2519970942"/>
      <w:bookmarkStart w:id="46" w:name="_Toc445447584"/>
      <w:bookmarkEnd w:id="45"/>
      <w:bookmarkEnd w:id="46"/>
      <w:r>
        <w:rPr/>
        <w:tab/>
        <w:t xml:space="preserve">PATH to an executable (.exe) program for processing script files executed </w:t>
        <w:tab/>
        <w:t xml:space="preserve">during pause functionality. Rscript.exe for example (see example R </w:t>
        <w:tab/>
        <w:t xml:space="preserve">script and scenario file at the the end of the documentation). This must be </w:t>
        <w:tab/>
        <w:t>specific to the programming language for the script file.</w:t>
      </w:r>
    </w:p>
    <w:p>
      <w:pPr>
        <w:pStyle w:val="Normal"/>
        <w:numPr>
          <w:ilvl w:val="0"/>
          <w:numId w:val="0"/>
        </w:numPr>
        <w:ind w:left="720" w:hanging="0"/>
        <w:rPr/>
      </w:pPr>
      <w:r>
        <w:rPr/>
      </w:r>
    </w:p>
    <w:p>
      <w:pPr>
        <w:pStyle w:val="Heading3"/>
        <w:numPr>
          <w:ilvl w:val="2"/>
          <w:numId w:val="2"/>
        </w:numPr>
        <w:rPr/>
      </w:pPr>
      <w:bookmarkStart w:id="47" w:name="__RefHeading___Toc1031_3159600073"/>
      <w:bookmarkEnd w:id="47"/>
      <w:r>
        <w:rPr/>
        <w:t>ExternalScript</w:t>
      </w:r>
    </w:p>
    <w:p>
      <w:pPr>
        <w:pStyle w:val="Normal"/>
        <w:numPr>
          <w:ilvl w:val="0"/>
          <w:numId w:val="0"/>
        </w:numPr>
        <w:ind w:left="720" w:hanging="0"/>
        <w:rPr/>
      </w:pPr>
      <w:r>
        <w:rPr/>
        <w:tab/>
        <w:t>PATH to a script file on the local machine e.g. Python (.py), R (.r), Matlab (.m) to be executed each time step by the pause functionality. Errors will occur if script file does not match the progamming language given by the executable (.exe).</w:t>
      </w:r>
    </w:p>
    <w:p>
      <w:pPr>
        <w:pStyle w:val="Heading3"/>
        <w:numPr>
          <w:ilvl w:val="2"/>
          <w:numId w:val="2"/>
        </w:numPr>
        <w:rPr/>
      </w:pPr>
      <w:bookmarkStart w:id="48" w:name="__RefHeading___Toc1063_3159600073"/>
      <w:bookmarkEnd w:id="48"/>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 Overrides ExternalExecutable and ExternalScript if specified.</w:t>
      </w:r>
    </w:p>
    <w:p>
      <w:pPr>
        <w:pStyle w:val="Heading3"/>
        <w:numPr>
          <w:ilvl w:val="2"/>
          <w:numId w:val="2"/>
        </w:numPr>
        <w:rPr/>
      </w:pPr>
      <w:bookmarkStart w:id="49" w:name="__RefHeading___Toc1098_3159600073"/>
      <w:bookmarkEnd w:id="49"/>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2"/>
        </w:numPr>
        <w:rPr/>
      </w:pPr>
      <w:bookmarkStart w:id="50" w:name="__RefHeading___Toc1122_2519970942"/>
      <w:bookmarkStart w:id="51" w:name="_Toc445447585"/>
      <w:bookmarkEnd w:id="50"/>
      <w:bookmarkEnd w:id="51"/>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Error: Reference source not found</w:t>
      </w:r>
      <w:r>
        <w:fldChar w:fldCharType="end"/>
      </w:r>
      <w:r>
        <w:rPr/>
        <w:t>).  The following sections describe the parameters that are required and optional for each land-use definition.</w:t>
      </w:r>
    </w:p>
    <w:p>
      <w:pPr>
        <w:pStyle w:val="Heading2"/>
        <w:numPr>
          <w:ilvl w:val="1"/>
          <w:numId w:val="2"/>
        </w:numPr>
        <w:rPr/>
      </w:pPr>
      <w:bookmarkStart w:id="52" w:name="__RefHeading___Toc1124_2519970942"/>
      <w:bookmarkStart w:id="53" w:name="_Toc445447586"/>
      <w:bookmarkEnd w:id="52"/>
      <w:bookmarkEnd w:id="53"/>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2"/>
        </w:numPr>
        <w:rPr/>
      </w:pPr>
      <w:bookmarkStart w:id="54" w:name="_Toc445447587"/>
      <w:bookmarkStart w:id="55" w:name="_Ref297139209"/>
      <w:bookmarkStart w:id="56" w:name="__RefHeading___Toc1126_2519970942"/>
      <w:bookmarkEnd w:id="56"/>
      <w:r>
        <w:rPr/>
        <w:t>MapCode</w:t>
      </w:r>
      <w:bookmarkEnd w:id="54"/>
      <w:bookmarkEnd w:id="55"/>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1, 234, 7762 (smaller numbers simpler)</w:t>
      </w:r>
    </w:p>
    <w:p>
      <w:pPr>
        <w:pStyle w:val="Heading2"/>
        <w:numPr>
          <w:ilvl w:val="1"/>
          <w:numId w:val="2"/>
        </w:numPr>
        <w:rPr/>
      </w:pPr>
      <w:bookmarkStart w:id="57" w:name="__RefHeading___Toc2381_2042586617"/>
      <w:bookmarkEnd w:id="57"/>
      <w:r>
        <w:rPr/>
        <w:t>PreventEstablishment</w:t>
      </w:r>
    </w:p>
    <w:p>
      <w:pPr>
        <w:pStyle w:val="Textbody1"/>
        <w:numPr>
          <w:ilvl w:val="0"/>
          <w:numId w:val="0"/>
        </w:numPr>
        <w:ind w:left="432" w:right="1008" w:hanging="0"/>
        <w:rPr/>
      </w:pPr>
      <w:r>
        <w:rPr/>
        <w:t>This optional keyword will prevent establishment within all sites implementing this particular LandUse, designed for use with the RemoveTrees LandCoverChange.  However, any remaining cohorts on the site will continue to grow.  The concept is designed to mimic the effects of housing development when sites are fully or partially harvested and do not regenerate back to forest.</w:t>
      </w:r>
    </w:p>
    <w:p>
      <w:pPr>
        <w:pStyle w:val="Textbody1"/>
        <w:numPr>
          <w:ilvl w:val="0"/>
          <w:numId w:val="0"/>
        </w:numPr>
        <w:ind w:left="1728" w:right="1008" w:hanging="0"/>
        <w:rPr/>
      </w:pPr>
      <w:r>
        <w:rPr>
          <w:b/>
        </w:rPr>
        <w:t>Note:</w:t>
      </w:r>
      <w:r>
        <w:rPr/>
        <w:t xml:space="preserve"> once a land use with PreventEstablishment is assigned to a site, establishment can be re-enabled using the most recent version of the LANDIS Succession (v5, see requirements section above) library, which contains a method EnableEstablishment in the Reproduction class.</w:t>
      </w:r>
    </w:p>
    <w:p>
      <w:pPr>
        <w:pStyle w:val="Heading2"/>
        <w:numPr>
          <w:ilvl w:val="1"/>
          <w:numId w:val="2"/>
        </w:numPr>
        <w:rPr/>
      </w:pPr>
      <w:bookmarkStart w:id="58" w:name="__RefHeading___Toc1128_2519970942"/>
      <w:bookmarkStart w:id="59" w:name="_Toc445447588"/>
      <w:bookmarkEnd w:id="58"/>
      <w:bookmarkEnd w:id="59"/>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 xml:space="preserve">. The default value is </w:t>
      </w:r>
      <w:r>
        <w:rPr>
          <w:i/>
          <w:iCs/>
        </w:rPr>
        <w:t>yes</w:t>
      </w:r>
      <w:r>
        <w:rPr>
          <w:i w:val="false"/>
          <w:iCs w:val="false"/>
          <w:u w:val="none"/>
        </w:rPr>
        <w:t>, so specification is only required when preventing harvest, as in the following example:</w:t>
      </w:r>
    </w:p>
    <w:p>
      <w:pPr>
        <w:pStyle w:val="Textbody1"/>
        <w:rPr/>
      </w:pPr>
      <w:r>
        <w:rPr/>
        <w:t>Example:</w:t>
      </w:r>
    </w:p>
    <w:p>
      <w:pPr>
        <w:pStyle w:val="Textinputfile"/>
        <w:rPr/>
      </w:pPr>
      <w:r>
        <w:rPr/>
        <w:t>AllowHarvest?</w:t>
        <w:tab/>
        <w:t>no</w:t>
      </w:r>
    </w:p>
    <w:p>
      <w:pPr>
        <w:pStyle w:val="Textinputfile"/>
        <w:rPr/>
      </w:pPr>
      <w:r>
        <w:rPr/>
        <w:t>AllowHarvest?</w:t>
        <w:tab/>
        <w:t>No</w:t>
      </w:r>
    </w:p>
    <w:p>
      <w:pPr>
        <w:pStyle w:val="Textinputfile"/>
        <w:rPr/>
      </w:pPr>
      <w:r>
        <w:rPr/>
        <w:t>AllowHarvest?</w:t>
        <w:tab/>
        <w:t>n</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2"/>
        </w:numPr>
        <w:rPr/>
      </w:pPr>
      <w:bookmarkStart w:id="60" w:name="_Toc445447589"/>
      <w:bookmarkStart w:id="61" w:name="_Ref297139308"/>
      <w:bookmarkStart w:id="62" w:name="__RefHeading___Toc1130_2519970942"/>
      <w:bookmarkEnd w:id="60"/>
      <w:bookmarkEnd w:id="61"/>
      <w:bookmarkEnd w:id="62"/>
      <w:r>
        <w:rPr/>
        <w:t>LandCoverChange</w:t>
      </w:r>
    </w:p>
    <w:p>
      <w:pPr>
        <w:pStyle w:val="Textbody1"/>
        <w:rPr/>
      </w:pPr>
      <w:r>
        <w:rPr/>
        <w:t xml:space="preserve">These parameters specify the land cover changes associated with the land use.  The parameters indicate changes to trees over time as a site whether trees are removed from a site when the land use is applied to the site.  Current valid values are: </w:t>
      </w:r>
      <w:r>
        <w:rPr>
          <w:rFonts w:cs="Courier New" w:ascii="Courier New" w:hAnsi="Courier New"/>
          <w:sz w:val="20"/>
          <w:szCs w:val="20"/>
        </w:rPr>
        <w:t>NoChange,</w:t>
      </w:r>
      <w:r>
        <w:rPr/>
        <w:t xml:space="preserve"> </w:t>
      </w:r>
      <w:r>
        <w:rPr>
          <w:rFonts w:cs="Courier New" w:ascii="Courier New" w:hAnsi="Courier New"/>
          <w:sz w:val="20"/>
          <w:szCs w:val="20"/>
        </w:rPr>
        <w:t>RemoveTrees, InsectDefoliation</w:t>
      </w:r>
      <w:r>
        <w:rPr/>
        <w:t xml:space="preserve">. </w:t>
      </w:r>
    </w:p>
    <w:p>
      <w:pPr>
        <w:pStyle w:val="Textbody1"/>
        <w:rPr/>
      </w:pPr>
      <w:r>
        <w:rPr/>
        <w:t>Example:</w:t>
      </w:r>
    </w:p>
    <w:p>
      <w:pPr>
        <w:pStyle w:val="Textinputfile"/>
        <w:rPr/>
      </w:pPr>
      <w:r>
        <w:rPr/>
        <w:tab/>
        <w:tab/>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 Note that it is possible to have multiple LandCoverChanges applied to a single LandUse</w:t>
      </w:r>
    </w:p>
    <w:p>
      <w:pPr>
        <w:pStyle w:val="Textbody1"/>
        <w:rPr/>
      </w:pPr>
      <w:r>
        <w:rPr/>
        <w:t>Example:</w:t>
      </w:r>
    </w:p>
    <w:p>
      <w:pPr>
        <w:pStyle w:val="Textbody1"/>
        <w:rPr/>
      </w:pPr>
      <w:r>
        <w:rPr/>
        <w:t>LandCoverChange RemoveTrees</w:t>
      </w:r>
    </w:p>
    <w:p>
      <w:pPr>
        <w:pStyle w:val="Textbody1"/>
        <w:rPr/>
      </w:pPr>
      <w:r>
        <w:rPr/>
        <w:t>…</w:t>
      </w:r>
    </w:p>
    <w:p>
      <w:pPr>
        <w:pStyle w:val="Textbody1"/>
        <w:rPr/>
      </w:pPr>
      <w:r>
        <w:rPr/>
        <w:t>LandCoverChange InsectDefoliation</w:t>
      </w:r>
    </w:p>
    <w:p>
      <w:pPr>
        <w:pStyle w:val="Textbody1"/>
        <w:rPr/>
      </w:pPr>
      <w:r>
        <w:rPr/>
        <w:t>Note: due to the way RemoveTrees is implemented with Harvesting modules in the background, tree removal will happen instantaneously in the first timestep of the landscape, whereas InsectDefoliation will be delayed until the end of the time step size until after succession occurs.</w:t>
      </w:r>
    </w:p>
    <w:p>
      <w:pPr>
        <w:pStyle w:val="Textbody1"/>
        <w:rPr/>
      </w:pPr>
      <w:r>
        <w:rPr/>
        <w:t>Repeat Harvests</w:t>
      </w:r>
    </w:p>
    <w:p>
      <w:pPr>
        <w:pStyle w:val="Textbody1"/>
        <w:rPr/>
      </w:pPr>
      <w:r>
        <w:rPr/>
        <w:t>Normally changes to a site associated with LandCoverChanges are only applied when a site transitions to a LandUse associated with a set of LandCoverChanges from a different LandUse (for example, LandCoverChanges associated with an agricultural LandUse are applied immediately following change from a forested LandUse).</w:t>
      </w:r>
    </w:p>
    <w:p>
      <w:pPr>
        <w:pStyle w:val="Textbody1"/>
        <w:rPr/>
      </w:pPr>
      <w:r>
        <w:rPr/>
        <w:t xml:space="preserve">LandCoverChanges can be applied each timestep to the same site repeatedly through the optional RepeatHarvest parameter. The default behavior is not to repeat harvests across timesteps. </w:t>
      </w:r>
      <w:r>
        <w:rPr>
          <w:b/>
          <w:bCs/>
        </w:rPr>
        <w:t>For each LandCoverChange on a LandUse</w:t>
      </w:r>
      <w:r>
        <w:rPr/>
        <w:t>, users can invoke repeat harvests in the following way:</w:t>
      </w:r>
    </w:p>
    <w:p>
      <w:pPr>
        <w:pStyle w:val="Textbody1"/>
        <w:ind w:left="1152" w:right="1008" w:hanging="0"/>
        <w:rPr/>
      </w:pPr>
      <w:r>
        <w:rPr/>
        <w:tab/>
        <w:tab/>
        <w:t>LandCoverChange RemoveTrees</w:t>
      </w:r>
    </w:p>
    <w:p>
      <w:pPr>
        <w:pStyle w:val="Textbody1"/>
        <w:ind w:left="1152" w:right="1008" w:hanging="0"/>
        <w:rPr/>
      </w:pPr>
      <w:r>
        <w:rPr/>
        <w:tab/>
        <w:tab/>
        <w:t>RepeatHarvest? Yes</w:t>
      </w:r>
    </w:p>
    <w:p>
      <w:pPr>
        <w:pStyle w:val="Textbody1"/>
        <w:ind w:left="1152" w:right="1008" w:hanging="0"/>
        <w:rPr>
          <w:strike/>
        </w:rPr>
      </w:pPr>
      <w:r>
        <w:rPr/>
        <w:t>Examples: if RepeatHarvest is not enabled for RemoveTrees, tree removal will only occur once. If it is not enabled for InsectDefoliation, only one round of defoliation will occur.</w:t>
      </w:r>
    </w:p>
    <w:p>
      <w:pPr>
        <w:pStyle w:val="Heading2"/>
        <w:numPr>
          <w:ilvl w:val="1"/>
          <w:numId w:val="2"/>
        </w:numPr>
        <w:rPr/>
      </w:pPr>
      <w:bookmarkStart w:id="63" w:name="__RefHeading___Toc1132_2519970942"/>
      <w:bookmarkStart w:id="64" w:name="_Toc445447590"/>
      <w:bookmarkEnd w:id="63"/>
      <w:bookmarkEnd w:id="64"/>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2"/>
        </w:numPr>
        <w:ind w:left="864" w:hanging="864"/>
        <w:rPr/>
      </w:pPr>
      <w:bookmarkStart w:id="65" w:name="__RefHeading___Toc1134_2519970942"/>
      <w:bookmarkStart w:id="66" w:name="_Toc445447591"/>
      <w:bookmarkEnd w:id="65"/>
      <w:bookmarkEnd w:id="66"/>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2"/>
        </w:numPr>
        <w:ind w:left="864" w:hanging="864"/>
        <w:rPr/>
      </w:pPr>
      <w:bookmarkStart w:id="67" w:name="__RefHeading___Toc1136_2519970942"/>
      <w:bookmarkStart w:id="68" w:name="_Toc445447592"/>
      <w:bookmarkEnd w:id="67"/>
      <w:bookmarkEnd w:id="68"/>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ab/>
        <w:tab/>
        <w:t>Plant  pinustro</w:t>
      </w:r>
    </w:p>
    <w:p>
      <w:pPr>
        <w:pStyle w:val="Heading2"/>
        <w:numPr>
          <w:ilvl w:val="1"/>
          <w:numId w:val="5"/>
        </w:numPr>
        <w:ind w:left="576" w:right="1008" w:hanging="0"/>
        <w:rPr/>
      </w:pPr>
      <w:bookmarkStart w:id="69" w:name="__RefHeading___Toc782_1133946149"/>
      <w:bookmarkEnd w:id="69"/>
      <w:r>
        <w:rPr/>
        <w:t>Parameters for InsectDefoliation</w:t>
      </w:r>
    </w:p>
    <w:p>
      <w:pPr>
        <w:pStyle w:val="Textbody1"/>
        <w:ind w:left="1152" w:right="1008" w:hanging="0"/>
        <w:rPr/>
      </w:pPr>
      <w:r>
        <w:rPr/>
        <w:tab/>
        <w:t xml:space="preserve">When users specify insect defoliation as a LandCoverChange a few </w:t>
        <w:tab/>
        <w:t>parameters are required:</w:t>
      </w:r>
    </w:p>
    <w:p>
      <w:pPr>
        <w:pStyle w:val="Textbody1"/>
        <w:ind w:left="1152" w:right="1008" w:hanging="0"/>
        <w:rPr/>
      </w:pPr>
      <w:r>
        <w:rPr/>
        <w:tab/>
        <w:t>LandCoverChange InsectDefoliation</w:t>
      </w:r>
    </w:p>
    <w:p>
      <w:pPr>
        <w:pStyle w:val="Textbody1"/>
        <w:ind w:left="1152" w:right="1008" w:hanging="0"/>
        <w:rPr/>
      </w:pPr>
      <w:r>
        <w:rPr/>
        <w:tab/>
        <w:t>PIST</w:t>
        <w:tab/>
        <w:t>1(25%)</w:t>
      </w:r>
    </w:p>
    <w:p>
      <w:pPr>
        <w:pStyle w:val="Textbody1"/>
        <w:ind w:left="1152" w:right="1008" w:hanging="0"/>
        <w:rPr/>
      </w:pPr>
      <w:r>
        <w:rPr/>
        <w:tab/>
        <w:t>Specifying a list of species with an age or age-range and a percentage defoliation rate, where 100% is the default. The structure is identical to that of RemoveTrees, see above for examples and explanation. There is one caveat: while specifying an age or age-range is required, InsectDefoliation does not currently support different defoliation percentages for different cohorts within a species. The last percentage specified will be applied to all members of a species on a site.</w:t>
      </w:r>
    </w:p>
    <w:p>
      <w:pPr>
        <w:pStyle w:val="Textbody1"/>
        <w:rPr/>
      </w:pPr>
      <w:r>
        <w:rPr/>
      </w:r>
    </w:p>
    <w:p>
      <w:pPr>
        <w:pStyle w:val="Heading1"/>
        <w:numPr>
          <w:ilvl w:val="0"/>
          <w:numId w:val="5"/>
        </w:numPr>
        <w:rPr/>
      </w:pPr>
      <w:bookmarkStart w:id="70" w:name="__RefHeading___Toc1140_2519970942"/>
      <w:bookmarkStart w:id="71" w:name="_Toc445447594"/>
      <w:bookmarkEnd w:id="70"/>
      <w:bookmarkEnd w:id="71"/>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ExternalExecutable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PreventEstablishment</w:t>
      </w:r>
    </w:p>
    <w:p>
      <w:pPr>
        <w:pStyle w:val="Textfilewide"/>
        <w:rPr/>
      </w:pPr>
      <w:bookmarkStart w:id="72" w:name="__DdeLink__959_1133946149"/>
      <w:bookmarkEnd w:id="72"/>
      <w:r>
        <w:rPr/>
        <w:t>LandCoverChange  RemoveTrees</w:t>
      </w:r>
    </w:p>
    <w:p>
      <w:pPr>
        <w:pStyle w:val="Textfilewide"/>
        <w:rPr/>
      </w:pPr>
      <w:r>
        <w:rPr/>
        <w:t>RepeatHarvest? Yes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bookmarkStart w:id="73" w:name="__DdeLink__959_11339461491"/>
      <w:bookmarkEnd w:id="73"/>
      <w:r>
        <w:rPr/>
        <w:t>FAGR 1-300(100%)</w:t>
      </w:r>
    </w:p>
    <w:p>
      <w:pPr>
        <w:pStyle w:val="Textfilewide"/>
        <w:rPr/>
      </w:pPr>
      <w:r>
        <w:rPr/>
        <w:t>LandCoverChange  InsectDefoliation</w:t>
      </w:r>
    </w:p>
    <w:p>
      <w:pPr>
        <w:pStyle w:val="Textfilewide"/>
        <w:rPr/>
      </w:pPr>
      <w:r>
        <w:rPr/>
        <w:t>RepeatHarvest? Yes</w:t>
      </w:r>
    </w:p>
    <w:p>
      <w:pPr>
        <w:pStyle w:val="Textfilewide"/>
        <w:rPr/>
      </w:pPr>
      <w:r>
        <w:rPr/>
        <w:t xml:space="preserve">                   </w:t>
      </w:r>
      <w:r>
        <w:rPr/>
        <w:t>PIST 1-300(10%)</w:t>
      </w:r>
    </w:p>
    <w:p>
      <w:pPr>
        <w:pStyle w:val="Textfilewide"/>
        <w:rPr/>
      </w:pPr>
      <w:r>
        <w:rPr/>
        <w:t xml:space="preserve">                   </w:t>
      </w:r>
      <w:r>
        <w:rPr/>
        <w:t>TSCA 1-300(10%)</w:t>
      </w:r>
    </w:p>
    <w:p>
      <w:pPr>
        <w:pStyle w:val="Textfilewide"/>
        <w:rPr/>
      </w:pPr>
      <w:r>
        <w:rPr/>
        <w:t xml:space="preserve">                   </w:t>
      </w:r>
      <w:r>
        <w:rPr/>
        <w:t>FAGR 1-300(10%)</w:t>
      </w:r>
    </w:p>
    <w:p>
      <w:pPr>
        <w:pStyle w:val="Textfilewide"/>
        <w:rPr/>
      </w:pPr>
      <w:r>
        <w:rPr/>
        <w:tab/>
        <w:tab/>
        <w:t>Plant PIST</w:t>
      </w:r>
    </w:p>
    <w:p>
      <w:pPr>
        <w:pStyle w:val="Textfilewide"/>
        <w:rPr/>
      </w:pPr>
      <w:r>
        <w:rPr/>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tab/>
        <w:tab/>
        <w:t>RepeatHarvest? Yes</w:t>
      </w:r>
    </w:p>
    <w:p>
      <w:pPr>
        <w:pStyle w:val="Textfilewide"/>
        <w:rPr/>
      </w:pPr>
      <w:r>
        <w:rPr/>
        <w:t>LandCoverChange InsectDefoliation</w:t>
      </w:r>
    </w:p>
    <w:p>
      <w:pPr>
        <w:pStyle w:val="Textfilewide"/>
        <w:rPr/>
      </w:pPr>
      <w:r>
        <w:rPr/>
        <w:tab/>
        <w:tab/>
        <w:t>PIST 1 (15%)</w:t>
      </w:r>
    </w:p>
    <w:p>
      <w:pPr>
        <w:pStyle w:val="Textfilewide"/>
        <w:rPr/>
      </w:pPr>
      <w:r>
        <w:rPr/>
        <w:tab/>
        <w:tab/>
        <w:t>RepeatHarvest? No</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4"/>
      <w:footerReference w:type="default" r:id="rId5"/>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MS Sans Serif">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13</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v2.0</w:t>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1512" w:hanging="432"/>
      </w:pPr>
    </w:lvl>
    <w:lvl w:ilvl="1">
      <w:start w:val="1"/>
      <w:pStyle w:val="Heading2"/>
      <w:numFmt w:val="decimal"/>
      <w:lvlText w:val="%2"/>
      <w:lvlJc w:val="left"/>
      <w:pPr>
        <w:tabs>
          <w:tab w:val="num" w:pos="1080"/>
        </w:tabs>
        <w:ind w:left="1656" w:hanging="576"/>
      </w:pPr>
    </w:lvl>
    <w:lvl w:ilvl="2">
      <w:start w:val="1"/>
      <w:pStyle w:val="Heading3"/>
      <w:numFmt w:val="decimal"/>
      <w:lvlText w:val="%2.%3"/>
      <w:lvlJc w:val="left"/>
      <w:pPr>
        <w:tabs>
          <w:tab w:val="num" w:pos="1080"/>
        </w:tabs>
        <w:ind w:left="1800" w:hanging="720"/>
      </w:pPr>
    </w:lvl>
    <w:lvl w:ilvl="3">
      <w:start w:val="1"/>
      <w:pStyle w:val="Heading4"/>
      <w:numFmt w:val="decimal"/>
      <w:lvlText w:val="%2.%3.%4"/>
      <w:lvlJc w:val="left"/>
      <w:pPr>
        <w:tabs>
          <w:tab w:val="num" w:pos="1080"/>
        </w:tabs>
        <w:ind w:left="1944" w:hanging="864"/>
      </w:pPr>
    </w:lvl>
    <w:lvl w:ilvl="4">
      <w:start w:val="1"/>
      <w:pStyle w:val="Heading5"/>
      <w:numFmt w:val="decimal"/>
      <w:lvlText w:val="%2.%3.%4.%5"/>
      <w:lvlJc w:val="left"/>
      <w:pPr>
        <w:tabs>
          <w:tab w:val="num" w:pos="1080"/>
        </w:tabs>
        <w:ind w:left="2088" w:hanging="1008"/>
      </w:pPr>
    </w:lvl>
    <w:lvl w:ilvl="5">
      <w:start w:val="1"/>
      <w:pStyle w:val="Heading6"/>
      <w:numFmt w:val="decimal"/>
      <w:lvlText w:val="%2.%3.%4.%5.%6"/>
      <w:lvlJc w:val="left"/>
      <w:pPr>
        <w:tabs>
          <w:tab w:val="num" w:pos="1080"/>
        </w:tabs>
        <w:ind w:left="2232" w:hanging="1152"/>
      </w:pPr>
    </w:lvl>
    <w:lvl w:ilvl="6">
      <w:start w:val="1"/>
      <w:pStyle w:val="Heading7"/>
      <w:numFmt w:val="decimal"/>
      <w:lvlText w:val="%2.%3.%4.%5.%6.%7"/>
      <w:lvlJc w:val="left"/>
      <w:pPr>
        <w:tabs>
          <w:tab w:val="num" w:pos="1080"/>
        </w:tabs>
        <w:ind w:left="2376" w:hanging="1296"/>
      </w:pPr>
    </w:lvl>
    <w:lvl w:ilvl="7">
      <w:start w:val="1"/>
      <w:pStyle w:val="Heading8"/>
      <w:numFmt w:val="decimal"/>
      <w:lvlText w:val="%2.%3.%4.%5.%6.%7.%8"/>
      <w:lvlJc w:val="left"/>
      <w:pPr>
        <w:tabs>
          <w:tab w:val="num" w:pos="1080"/>
        </w:tabs>
        <w:ind w:left="2520" w:hanging="1440"/>
      </w:pPr>
    </w:lvl>
    <w:lvl w:ilvl="8">
      <w:start w:val="1"/>
      <w:pStyle w:val="Heading9"/>
      <w:numFmt w:val="decimal"/>
      <w:lvlText w:val="%2.%3.%4.%5.%6.%7.%8.%9"/>
      <w:lvlJc w:val="left"/>
      <w:pPr>
        <w:tabs>
          <w:tab w:val="num" w:pos="1080"/>
        </w:tabs>
        <w:ind w:left="266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1872"/>
        </w:tabs>
        <w:ind w:left="1872" w:hanging="360"/>
      </w:pPr>
      <w:rPr>
        <w:rFonts w:ascii="Symbol" w:hAnsi="Symbol" w:cs="Symbol" w:hint="default"/>
        <w:rFonts w:cs="OpenSymbol"/>
      </w:rPr>
    </w:lvl>
    <w:lvl w:ilvl="1">
      <w:start w:val="1"/>
      <w:numFmt w:val="bullet"/>
      <w:lvlText w:val="◦"/>
      <w:lvlJc w:val="left"/>
      <w:pPr>
        <w:tabs>
          <w:tab w:val="num" w:pos="2232"/>
        </w:tabs>
        <w:ind w:left="2232" w:hanging="360"/>
      </w:pPr>
      <w:rPr>
        <w:rFonts w:ascii="OpenSymbol" w:hAnsi="OpenSymbol" w:cs="OpenSymbol" w:hint="default"/>
        <w:rFonts w:cs="OpenSymbol"/>
      </w:rPr>
    </w:lvl>
    <w:lvl w:ilvl="2">
      <w:start w:val="1"/>
      <w:numFmt w:val="bullet"/>
      <w:lvlText w:val="▪"/>
      <w:lvlJc w:val="left"/>
      <w:pPr>
        <w:tabs>
          <w:tab w:val="num" w:pos="2592"/>
        </w:tabs>
        <w:ind w:left="2592" w:hanging="360"/>
      </w:pPr>
      <w:rPr>
        <w:rFonts w:ascii="OpenSymbol" w:hAnsi="OpenSymbol" w:cs="OpenSymbol" w:hint="default"/>
        <w:rFonts w:cs="OpenSymbol"/>
      </w:rPr>
    </w:lvl>
    <w:lvl w:ilvl="3">
      <w:start w:val="1"/>
      <w:numFmt w:val="bullet"/>
      <w:lvlText w:val=""/>
      <w:lvlJc w:val="left"/>
      <w:pPr>
        <w:tabs>
          <w:tab w:val="num" w:pos="2952"/>
        </w:tabs>
        <w:ind w:left="2952" w:hanging="360"/>
      </w:pPr>
      <w:rPr>
        <w:rFonts w:ascii="Symbol" w:hAnsi="Symbol" w:cs="Symbol" w:hint="default"/>
        <w:rFonts w:cs="OpenSymbol"/>
      </w:rPr>
    </w:lvl>
    <w:lvl w:ilvl="4">
      <w:start w:val="1"/>
      <w:numFmt w:val="bullet"/>
      <w:lvlText w:val="◦"/>
      <w:lvlJc w:val="left"/>
      <w:pPr>
        <w:tabs>
          <w:tab w:val="num" w:pos="3312"/>
        </w:tabs>
        <w:ind w:left="3312" w:hanging="360"/>
      </w:pPr>
      <w:rPr>
        <w:rFonts w:ascii="OpenSymbol" w:hAnsi="OpenSymbol" w:cs="OpenSymbol" w:hint="default"/>
        <w:rFonts w:cs="OpenSymbol"/>
      </w:rPr>
    </w:lvl>
    <w:lvl w:ilvl="5">
      <w:start w:val="1"/>
      <w:numFmt w:val="bullet"/>
      <w:lvlText w:val="▪"/>
      <w:lvlJc w:val="left"/>
      <w:pPr>
        <w:tabs>
          <w:tab w:val="num" w:pos="3672"/>
        </w:tabs>
        <w:ind w:left="3672" w:hanging="360"/>
      </w:pPr>
      <w:rPr>
        <w:rFonts w:ascii="OpenSymbol" w:hAnsi="OpenSymbol" w:cs="OpenSymbol" w:hint="default"/>
        <w:rFonts w:cs="OpenSymbol"/>
      </w:rPr>
    </w:lvl>
    <w:lvl w:ilvl="6">
      <w:start w:val="1"/>
      <w:numFmt w:val="bullet"/>
      <w:lvlText w:val=""/>
      <w:lvlJc w:val="left"/>
      <w:pPr>
        <w:tabs>
          <w:tab w:val="num" w:pos="4032"/>
        </w:tabs>
        <w:ind w:left="4032" w:hanging="360"/>
      </w:pPr>
      <w:rPr>
        <w:rFonts w:ascii="Symbol" w:hAnsi="Symbol" w:cs="Symbol" w:hint="default"/>
        <w:rFonts w:cs="OpenSymbol"/>
      </w:rPr>
    </w:lvl>
    <w:lvl w:ilvl="7">
      <w:start w:val="1"/>
      <w:numFmt w:val="bullet"/>
      <w:lvlText w:val="◦"/>
      <w:lvlJc w:val="left"/>
      <w:pPr>
        <w:tabs>
          <w:tab w:val="num" w:pos="4392"/>
        </w:tabs>
        <w:ind w:left="4392" w:hanging="360"/>
      </w:pPr>
      <w:rPr>
        <w:rFonts w:ascii="OpenSymbol" w:hAnsi="OpenSymbol" w:cs="OpenSymbol" w:hint="default"/>
        <w:rFonts w:cs="OpenSymbol"/>
      </w:rPr>
    </w:lvl>
    <w:lvl w:ilvl="8">
      <w:start w:val="1"/>
      <w:numFmt w:val="bullet"/>
      <w:lvlText w:val="▪"/>
      <w:lvlJc w:val="left"/>
      <w:pPr>
        <w:tabs>
          <w:tab w:val="num" w:pos="4752"/>
        </w:tabs>
        <w:ind w:left="475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uiPriority w:val="99"/>
    <w:qFormat/>
    <w:rsid w:val="00626798"/>
    <w:pPr>
      <w:keepNext/>
      <w:widowControl w:val="false"/>
      <w:bidi w:val="0"/>
      <w:ind w:left="0" w:right="0" w:hanging="0"/>
      <w:jc w:val="left"/>
    </w:pPr>
    <w:rPr>
      <w:rFonts w:ascii="Verdana" w:hAnsi="Verdana" w:eastAsia="Times New Roman" w:cs="Verdana"/>
      <w:color w:val="00000A"/>
      <w:sz w:val="24"/>
      <w:szCs w:val="20"/>
      <w:lang w:val="en-US" w:eastAsia="en-US" w:bidi="ar-S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uiPriority w:val="99"/>
    <w:qFormat/>
    <w:rsid w:val="00626798"/>
    <w:pPr>
      <w:widowControl w:val="false"/>
      <w:bidi w:val="0"/>
      <w:spacing w:before="0" w:after="0"/>
      <w:jc w:val="left"/>
    </w:pPr>
    <w:rPr>
      <w:rFonts w:ascii="Times New Roman" w:hAnsi="Times New Roman" w:eastAsia="Times New Roman" w:cs="Times New Roman"/>
      <w:color w:val="00000A"/>
      <w:sz w:val="24"/>
      <w:szCs w:val="20"/>
      <w:lang w:val="en-US" w:eastAsia="en-US" w:bidi="ar-SA"/>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LANDIS-II-Foundation/Extension-Land-Use-Change/tree/master/deploy/libraries" TargetMode="Externa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Application>LibreOffice/5.2.1.2$Windows_x86 LibreOffice_project/31dd62db80d4e60af04904455ec9c9219178d620</Application>
  <Pages>15</Pages>
  <Words>2494</Words>
  <Characters>14298</Characters>
  <CharactersWithSpaces>16839</CharactersWithSpaces>
  <Paragraphs>227</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Adam Chmurzynski</cp:lastModifiedBy>
  <cp:lastPrinted>2015-11-09T00:28:00Z</cp:lastPrinted>
  <dcterms:modified xsi:type="dcterms:W3CDTF">2018-09-27T01:06:08Z</dcterms:modified>
  <cp:revision>30</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