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1F1F"/>
          <w:sz w:val="30"/>
          <w:szCs w:val="30"/>
        </w:rPr>
        <w:t xml:space="preserve">OFFICIAL WHITEPAPER</w:t>
      </w:r>
    </w:p>
    <w:p>
      <w:pPr>
        <w:spacing w:after="300" w:before="60"/>
        <w:jc w:val="center"/>
      </w:pPr>
      <w:r>
        <w:rPr>
          <w:rFonts w:ascii="Calibri" w:cs="Calibri" w:eastAsia="Calibri" w:hAnsi="Calibri"/>
          <w:b/>
          <w:bCs/>
          <w:color w:val="1F1F1F"/>
          <w:sz w:val="52"/>
          <w:szCs w:val="52"/>
        </w:rPr>
        <w:t xml:space="preserve">BAGUA ECOSYSTEM ($BAG)</w:t>
      </w:r>
    </w:p>
    <w:p>
      <w:pPr>
        <w:spacing w:after="500"/>
        <w:jc w:val="center"/>
      </w:pPr>
      <w:r>
        <w:rPr>
          <w:rFonts w:ascii="Calibri" w:cs="Calibri" w:eastAsia="Calibri" w:hAnsi="Calibri"/>
          <w:i/>
          <w:iCs/>
          <w:color w:val="444444"/>
          <w:sz w:val="24"/>
          <w:szCs w:val="24"/>
        </w:rPr>
        <w:t xml:space="preserve">Next-Generation Decentralized Exchange, Launchpad &amp; ERC-4337 Account Abstraction Architecture on GIWA</w:t>
      </w:r>
    </w:p>
    <w:p>
      <w:pPr>
        <w:spacing w:after="100"/>
        <w:jc w:val="center"/>
      </w:pPr>
      <w:r>
        <w:rPr>
          <w:rFonts w:ascii="Calibri" w:cs="Calibri" w:eastAsia="Calibri" w:hAnsi="Calibri"/>
          <w:color w:val="444444"/>
          <w:sz w:val="22"/>
          <w:szCs w:val="22"/>
        </w:rPr>
        <w:t xml:space="preserve">Version 1.5.0 — GIWA-Native Edition</w:t>
      </w:r>
    </w:p>
    <w:p>
      <w:r>
        <w:br w:type="page"/>
      </w:r>
    </w:p>
    <w:p>
      <w:pPr>
        <w:pStyle w:val="Heading1"/>
        <w:spacing w:after="160" w:before="360"/>
      </w:pPr>
      <w:r>
        <w:t xml:space="preserve">EXECUTIVE SUMMARY</w:t>
      </w:r>
    </w:p>
    <w:p>
      <w:pPr>
        <w:spacing w:after="160"/>
      </w:pPr>
      <w:r>
        <w:rPr>
          <w:rFonts w:ascii="Calibri" w:cs="Calibri" w:eastAsia="Calibri" w:hAnsi="Calibri"/>
          <w:sz w:val="22"/>
          <w:szCs w:val="22"/>
        </w:rPr>
        <w:t xml:space="preserve">BaguaSwap is a next-generation decentralized finance (DeFi) ecosystem and Launchpad platform built natively for the GIWA Network, designed to provide ultra-deep liquidity, seamless token incubation, and complete gas-fee abstraction for Web3 users.</w:t>
      </w:r>
    </w:p>
    <w:p>
      <w:pPr>
        <w:spacing w:after="160"/>
      </w:pPr>
      <w:r>
        <w:rPr>
          <w:rFonts w:ascii="Calibri" w:cs="Calibri" w:eastAsia="Calibri" w:hAnsi="Calibri"/>
          <w:sz w:val="22"/>
          <w:szCs w:val="22"/>
        </w:rPr>
        <w:t xml:space="preserve">Conceived as the pioneer DEX and Launchpad infrastructure for the upcoming GIWA Blockchain, BaguaSwap begins its rollout with an adaptive, milestone-driven strategy. Currently operating in its Testnet Phase, BaguaSwap is stress-testing its AMM DEX, Launchpad engine, and ERC-4337 Account Abstraction Paymaster on the GIWA Testnet.</w:t>
      </w:r>
    </w:p>
    <w:p>
      <w:pPr>
        <w:spacing w:after="160"/>
      </w:pPr>
      <w:r>
        <w:rPr>
          <w:rFonts w:ascii="Calibri" w:cs="Calibri" w:eastAsia="Calibri" w:hAnsi="Calibri"/>
          <w:sz w:val="22"/>
          <w:szCs w:val="22"/>
        </w:rPr>
        <w:t xml:space="preserve">Following the official launch and stabilization of GIWA Mainnet, BaguaSwap will serve as GIWA's primary liquidity and token incubation hub, continuously strengthening its AMM, Launchpad, and Account Abstraction infrastructure to support the long-term growth of the GIWA ecosystem.</w:t>
      </w:r>
    </w:p>
    <w:p>
      <w:pPr>
        <w:spacing w:after="160"/>
      </w:pPr>
      <w:r>
        <w:rPr>
          <w:rFonts w:ascii="Calibri" w:cs="Calibri" w:eastAsia="Calibri" w:hAnsi="Calibri"/>
          <w:sz w:val="22"/>
          <w:szCs w:val="22"/>
        </w:rPr>
        <w:t xml:space="preserve">Powered by its native utility token Bagua ($BAG) with a fixed maximum supply of 1,000,000,000 (1 Billion) BAG, BaguaSwap introduces a dual-engine deflationary and gasless transaction model:</w:t>
      </w:r>
    </w:p>
    <w:p>
      <w:pPr>
        <w:spacing w:after="140"/>
      </w:pPr>
      <w:r>
        <w:rPr>
          <w:rFonts w:ascii="Calibri" w:cs="Calibri" w:eastAsia="Calibri" w:hAnsi="Calibri"/>
          <w:b/>
          <w:bCs/>
          <w:sz w:val="22"/>
          <w:szCs w:val="22"/>
        </w:rPr>
        <w:t xml:space="preserve">1. </w:t>
      </w:r>
      <w:r>
        <w:rPr>
          <w:rFonts w:ascii="Calibri" w:cs="Calibri" w:eastAsia="Calibri" w:hAnsi="Calibri"/>
          <w:b/>
          <w:bCs/>
          <w:sz w:val="22"/>
          <w:szCs w:val="22"/>
        </w:rPr>
        <w:t xml:space="preserve">Automated Deflationary Fee Split: </w:t>
      </w:r>
      <w:r>
        <w:rPr>
          <w:rFonts w:ascii="Calibri" w:cs="Calibri" w:eastAsia="Calibri" w:hAnsi="Calibri"/>
          <w:sz w:val="22"/>
          <w:szCs w:val="22"/>
        </w:rPr>
        <w:t xml:space="preserve">Every transaction within the ecosystem incurs a fee, where 30% is directed to a smart contract that automatically buys back Bagua ($BAG) from the open market and burns it permanently, while 70% is allocated to the Dev/Treasury Wallet for continuous development, operational security, and ecosystem growth.</w:t>
      </w:r>
    </w:p>
    <w:p>
      <w:pPr>
        <w:spacing w:after="140"/>
      </w:pPr>
      <w:r>
        <w:rPr>
          <w:rFonts w:ascii="Calibri" w:cs="Calibri" w:eastAsia="Calibri" w:hAnsi="Calibri"/>
          <w:b/>
          <w:bCs/>
          <w:sz w:val="22"/>
          <w:szCs w:val="22"/>
        </w:rPr>
        <w:t xml:space="preserve">2. </w:t>
      </w:r>
      <w:r>
        <w:rPr>
          <w:rFonts w:ascii="Calibri" w:cs="Calibri" w:eastAsia="Calibri" w:hAnsi="Calibri"/>
          <w:b/>
          <w:bCs/>
          <w:sz w:val="22"/>
          <w:szCs w:val="22"/>
        </w:rPr>
        <w:t xml:space="preserve">ERC-4337 Account Abstraction &amp; Paymaster Relayer Architecture: </w:t>
      </w:r>
      <w:r>
        <w:rPr>
          <w:rFonts w:ascii="Calibri" w:cs="Calibri" w:eastAsia="Calibri" w:hAnsi="Calibri"/>
          <w:sz w:val="22"/>
          <w:szCs w:val="22"/>
        </w:rPr>
        <w:t xml:space="preserve">Eliminates native gas friction. Users operating through ERC-4337 Smart Accounts can launch tokens, execute swaps, and interact with smart contracts without holding the native gas token (GIWA). The custom Bagua Paymaster automatically converts and deducts a micro-amount of Bagua ($BAG) from the user's Smart Account to cover on-chain transaction gas fees.</w:t>
      </w:r>
    </w:p>
    <w:p>
      <w:pPr>
        <w:pStyle w:val="Heading1"/>
        <w:spacing w:after="160" w:before="360"/>
      </w:pPr>
      <w:r>
        <w:t xml:space="preserve">1. VISION &amp; ECOSYSTEM STRATEGY</w:t>
      </w:r>
    </w:p>
    <w:p>
      <w:pPr>
        <w:pStyle w:val="Heading2"/>
        <w:spacing w:after="120" w:before="260"/>
      </w:pPr>
      <w:r>
        <w:t xml:space="preserve">1.1 Core Mission</w:t>
      </w:r>
    </w:p>
    <w:p>
      <w:pPr>
        <w:spacing w:after="160"/>
      </w:pPr>
      <w:r>
        <w:rPr>
          <w:rFonts w:ascii="Calibri" w:cs="Calibri" w:eastAsia="Calibri" w:hAnsi="Calibri"/>
          <w:sz w:val="22"/>
          <w:szCs w:val="22"/>
        </w:rPr>
        <w:t xml:space="preserve">To eliminate native gas friction in Web3 through ERC-4337 Account Abstraction, providing a unified liquidity hub and launchpad on GIWA where project creators and traders can operate effortlessly without needing to hold native gas tokens.</w:t>
      </w:r>
    </w:p>
    <w:p>
      <w:pPr>
        <w:pStyle w:val="Heading2"/>
        <w:spacing w:after="120" w:before="260"/>
      </w:pPr>
      <w:r>
        <w:t xml:space="preserve">1.2 Adaptive Milestone-Based Launch Strategy</w:t>
      </w:r>
    </w:p>
    <w:p>
      <w:pPr>
        <w:spacing w:after="160"/>
      </w:pPr>
      <w:r>
        <w:rPr>
          <w:rFonts w:ascii="Calibri" w:cs="Calibri" w:eastAsia="Calibri" w:hAnsi="Calibri"/>
          <w:sz w:val="22"/>
          <w:szCs w:val="22"/>
        </w:rPr>
        <w:t xml:space="preserve">Given that the official launch timeline for GIWA Mainnet remains to be confirmed by the core network engineers, BaguaSwap adopts a Milestone-Driven Execution Framework rather than fixed calendar dates:</w:t>
      </w:r>
    </w:p>
    <w:p>
      <w:pPr>
        <w:pStyle w:val="ListParagraph"/>
        <w:numPr>
          <w:ilvl w:val="0"/>
          <w:numId w:val="2"/>
        </w:numPr>
        <w:spacing w:after="100"/>
      </w:pPr>
      <w:r>
        <w:rPr>
          <w:rFonts w:ascii="Calibri" w:cs="Calibri" w:eastAsia="Calibri" w:hAnsi="Calibri"/>
          <w:b/>
          <w:bCs/>
          <w:sz w:val="22"/>
          <w:szCs w:val="22"/>
        </w:rPr>
        <w:t xml:space="preserve">Milestone 1 (Current – GIWA Testnet): </w:t>
      </w:r>
      <w:r>
        <w:rPr>
          <w:rFonts w:ascii="Calibri" w:cs="Calibri" w:eastAsia="Calibri" w:hAnsi="Calibri"/>
          <w:sz w:val="22"/>
          <w:szCs w:val="22"/>
        </w:rPr>
        <w:t xml:space="preserve">Full-stack protocol deployment on GIWA Testnet to refine AMM mechanics, IDO launchpad contracts, and the ERC-4337 Paymaster pipeline.</w:t>
      </w:r>
    </w:p>
    <w:p>
      <w:pPr>
        <w:pStyle w:val="ListParagraph"/>
        <w:numPr>
          <w:ilvl w:val="0"/>
          <w:numId w:val="2"/>
        </w:numPr>
        <w:spacing w:after="100"/>
      </w:pPr>
      <w:r>
        <w:rPr>
          <w:rFonts w:ascii="Calibri" w:cs="Calibri" w:eastAsia="Calibri" w:hAnsi="Calibri"/>
          <w:b/>
          <w:bCs/>
          <w:sz w:val="22"/>
          <w:szCs w:val="22"/>
        </w:rPr>
        <w:t xml:space="preserve">Milestone 2 (GIWA Mainnet Unveiling): </w:t>
      </w:r>
      <w:r>
        <w:rPr>
          <w:rFonts w:ascii="Calibri" w:cs="Calibri" w:eastAsia="Calibri" w:hAnsi="Calibri"/>
          <w:sz w:val="22"/>
          <w:szCs w:val="22"/>
        </w:rPr>
        <w:t xml:space="preserve">Immediate deployment of Bagua ($BAG) Token Generation Event (TGE), liquidity seeding, and native DEX/Launchpad activation upon GIWA Mainnet going live.</w:t>
      </w:r>
    </w:p>
    <w:p>
      <w:pPr>
        <w:pStyle w:val="ListParagraph"/>
        <w:numPr>
          <w:ilvl w:val="0"/>
          <w:numId w:val="2"/>
        </w:numPr>
        <w:spacing w:after="100"/>
      </w:pPr>
      <w:r>
        <w:rPr>
          <w:rFonts w:ascii="Calibri" w:cs="Calibri" w:eastAsia="Calibri" w:hAnsi="Calibri"/>
          <w:b/>
          <w:bCs/>
          <w:sz w:val="22"/>
          <w:szCs w:val="22"/>
        </w:rPr>
        <w:t xml:space="preserve">Milestone 3 (Post-Mainnet Stabilization): </w:t>
      </w:r>
      <w:r>
        <w:rPr>
          <w:rFonts w:ascii="Calibri" w:cs="Calibri" w:eastAsia="Calibri" w:hAnsi="Calibri"/>
          <w:sz w:val="22"/>
          <w:szCs w:val="22"/>
        </w:rPr>
        <w:t xml:space="preserve">Centralized Exchange (CEX) listings and transition toward full Decentralized Autonomous Organization (DAO) governance once GIWA Mainnet liquidity reaches sustainable thresholds.</w:t>
      </w:r>
    </w:p>
    <w:p>
      <w:pPr>
        <w:pStyle w:val="Heading1"/>
        <w:spacing w:after="160" w:before="360"/>
      </w:pPr>
      <w:r>
        <w:t xml:space="preserve">2. CORE PLATFORM FEATURES</w:t>
      </w:r>
    </w:p>
    <w:p>
      <w:pPr>
        <w:pStyle w:val="Heading2"/>
        <w:spacing w:after="120" w:before="260"/>
      </w:pPr>
      <w:r>
        <w:t xml:space="preserve">2.1 Bagua Launchpad (Token Generator &amp; IDO Engine)</w:t>
      </w:r>
    </w:p>
    <w:p>
      <w:pPr>
        <w:spacing w:after="160"/>
      </w:pPr>
      <w:r>
        <w:rPr>
          <w:rFonts w:ascii="Calibri" w:cs="Calibri" w:eastAsia="Calibri" w:hAnsi="Calibri"/>
          <w:sz w:val="22"/>
          <w:szCs w:val="22"/>
        </w:rPr>
        <w:t xml:space="preserve">An end-to-end token creation and incubation platform allowing developers to mint, deploy, and launch new tokens effortlessly on the GIWA Network.</w:t>
      </w:r>
    </w:p>
    <w:p>
      <w:pPr>
        <w:pStyle w:val="ListParagraph"/>
        <w:numPr>
          <w:ilvl w:val="0"/>
          <w:numId w:val="2"/>
        </w:numPr>
        <w:spacing w:after="100"/>
      </w:pPr>
      <w:r>
        <w:rPr>
          <w:rFonts w:ascii="Calibri" w:cs="Calibri" w:eastAsia="Calibri" w:hAnsi="Calibri"/>
          <w:b/>
          <w:bCs/>
          <w:sz w:val="22"/>
          <w:szCs w:val="22"/>
        </w:rPr>
        <w:t xml:space="preserve">Automated Liquidity Locking: </w:t>
      </w:r>
      <w:r>
        <w:rPr>
          <w:rFonts w:ascii="Calibri" w:cs="Calibri" w:eastAsia="Calibri" w:hAnsi="Calibri"/>
          <w:sz w:val="22"/>
          <w:szCs w:val="22"/>
        </w:rPr>
        <w:t xml:space="preserve">Anti-rugpull mechanics enforce smart contract lock-ups on initial DEX liquidity.</w:t>
      </w:r>
    </w:p>
    <w:p>
      <w:pPr>
        <w:pStyle w:val="ListParagraph"/>
        <w:numPr>
          <w:ilvl w:val="0"/>
          <w:numId w:val="2"/>
        </w:numPr>
        <w:spacing w:after="100"/>
      </w:pPr>
      <w:r>
        <w:rPr>
          <w:rFonts w:ascii="Calibri" w:cs="Calibri" w:eastAsia="Calibri" w:hAnsi="Calibri"/>
          <w:b/>
          <w:bCs/>
          <w:sz w:val="22"/>
          <w:szCs w:val="22"/>
        </w:rPr>
        <w:t xml:space="preserve">Tiered Staking Allocations: </w:t>
      </w:r>
      <w:r>
        <w:rPr>
          <w:rFonts w:ascii="Calibri" w:cs="Calibri" w:eastAsia="Calibri" w:hAnsi="Calibri"/>
          <w:sz w:val="22"/>
          <w:szCs w:val="22"/>
        </w:rPr>
        <w:t xml:space="preserve">Bagua ($BAG) stakers gain guaranteed VIP allocation access to high-tier Initial DEX Offerings (IDOs).</w:t>
      </w:r>
    </w:p>
    <w:p>
      <w:pPr>
        <w:pStyle w:val="ListParagraph"/>
        <w:numPr>
          <w:ilvl w:val="0"/>
          <w:numId w:val="2"/>
        </w:numPr>
        <w:spacing w:after="100"/>
      </w:pPr>
      <w:r>
        <w:rPr>
          <w:rFonts w:ascii="Calibri" w:cs="Calibri" w:eastAsia="Calibri" w:hAnsi="Calibri"/>
          <w:b/>
          <w:bCs/>
          <w:sz w:val="22"/>
          <w:szCs w:val="22"/>
        </w:rPr>
        <w:t xml:space="preserve">Gasless Token Deployment: </w:t>
      </w:r>
      <w:r>
        <w:rPr>
          <w:rFonts w:ascii="Calibri" w:cs="Calibri" w:eastAsia="Calibri" w:hAnsi="Calibri"/>
          <w:sz w:val="22"/>
          <w:szCs w:val="22"/>
        </w:rPr>
        <w:t xml:space="preserve">Creators can launch new projects paying deployment fees purely in Bagua ($BAG) via the ERC-4337 Paymaster network.</w:t>
      </w:r>
    </w:p>
    <w:p>
      <w:pPr>
        <w:pStyle w:val="Heading2"/>
        <w:spacing w:after="120" w:before="260"/>
      </w:pPr>
      <w:r>
        <w:t xml:space="preserve">2.2 Bagua Automated Market Maker (AMM) DEX</w:t>
      </w:r>
    </w:p>
    <w:p>
      <w:pPr>
        <w:spacing w:after="160"/>
      </w:pPr>
      <w:r>
        <w:rPr>
          <w:rFonts w:ascii="Calibri" w:cs="Calibri" w:eastAsia="Calibri" w:hAnsi="Calibri"/>
          <w:sz w:val="22"/>
          <w:szCs w:val="22"/>
        </w:rPr>
        <w:t xml:space="preserve">An advanced AMM facilitating instant token swaps with minimal slippage on the GIWA Network.</w:t>
      </w:r>
    </w:p>
    <w:p>
      <w:pPr>
        <w:pStyle w:val="ListParagraph"/>
        <w:numPr>
          <w:ilvl w:val="0"/>
          <w:numId w:val="2"/>
        </w:numPr>
        <w:spacing w:after="100"/>
      </w:pPr>
      <w:r>
        <w:rPr>
          <w:rFonts w:ascii="Calibri" w:cs="Calibri" w:eastAsia="Calibri" w:hAnsi="Calibri"/>
          <w:b/>
          <w:bCs/>
          <w:sz w:val="22"/>
          <w:szCs w:val="22"/>
        </w:rPr>
        <w:t xml:space="preserve">Multi-Asset Liquidity Pools &amp; Yield Farming: </w:t>
      </w:r>
      <w:r>
        <w:rPr>
          <w:rFonts w:ascii="Calibri" w:cs="Calibri" w:eastAsia="Calibri" w:hAnsi="Calibri"/>
          <w:sz w:val="22"/>
          <w:szCs w:val="22"/>
        </w:rPr>
        <w:t xml:space="preserve">Liquidity providers earn swap fees and Bagua ($BAG) yield incentives.</w:t>
      </w:r>
    </w:p>
    <w:p>
      <w:pPr>
        <w:pStyle w:val="Heading2"/>
        <w:spacing w:after="120" w:before="260"/>
      </w:pPr>
      <w:r>
        <w:t xml:space="preserve">2.3 ERC-4337 Account Abstraction &amp; Paymaster Relayer Architecture</w:t>
      </w:r>
    </w:p>
    <w:p>
      <w:pPr>
        <w:spacing w:after="160"/>
      </w:pPr>
      <w:r>
        <w:rPr>
          <w:rFonts w:ascii="Calibri" w:cs="Calibri" w:eastAsia="Calibri" w:hAnsi="Calibri"/>
          <w:sz w:val="22"/>
          <w:szCs w:val="22"/>
        </w:rPr>
        <w:t xml:space="preserve">Traditional Web3 user experience requires users to maintain a balance of the native gas token (GIWA) just to execute basic smart contract interactions.</w:t>
      </w:r>
    </w:p>
    <w:p>
      <w:pPr>
        <w:spacing w:after="160"/>
      </w:pPr>
      <w:r>
        <w:rPr>
          <w:rFonts w:ascii="Calibri" w:cs="Calibri" w:eastAsia="Calibri" w:hAnsi="Calibri"/>
          <w:sz w:val="22"/>
          <w:szCs w:val="22"/>
        </w:rPr>
        <w:t xml:space="preserve">BaguaSwap resolves this UX hurdle using ERC-4337 Account Abstraction:</w:t>
      </w:r>
    </w:p>
    <w:p>
      <w:pPr>
        <w:pStyle w:val="ListParagraph"/>
        <w:numPr>
          <w:ilvl w:val="0"/>
          <w:numId w:val="2"/>
        </w:numPr>
        <w:spacing w:after="100"/>
      </w:pPr>
      <w:r>
        <w:rPr>
          <w:rFonts w:ascii="Calibri" w:cs="Calibri" w:eastAsia="Calibri" w:hAnsi="Calibri"/>
          <w:b/>
          <w:bCs/>
          <w:sz w:val="22"/>
          <w:szCs w:val="22"/>
        </w:rPr>
        <w:t xml:space="preserve">Smart Accounts (Contract Wallets): </w:t>
      </w:r>
      <w:r>
        <w:rPr>
          <w:rFonts w:ascii="Calibri" w:cs="Calibri" w:eastAsia="Calibri" w:hAnsi="Calibri"/>
          <w:sz w:val="22"/>
          <w:szCs w:val="22"/>
        </w:rPr>
        <w:t xml:space="preserve">Users interact with BaguaSwap via ERC-4337 compliant Smart Contract Accounts (SCAs), enabling session keys, social recovery, and batched transactions.</w:t>
      </w:r>
    </w:p>
    <w:p>
      <w:pPr>
        <w:pStyle w:val="ListParagraph"/>
        <w:numPr>
          <w:ilvl w:val="0"/>
          <w:numId w:val="2"/>
        </w:numPr>
        <w:spacing w:after="100"/>
      </w:pPr>
      <w:r>
        <w:rPr>
          <w:rFonts w:ascii="Calibri" w:cs="Calibri" w:eastAsia="Calibri" w:hAnsi="Calibri"/>
          <w:b/>
          <w:bCs/>
          <w:sz w:val="22"/>
          <w:szCs w:val="22"/>
        </w:rPr>
        <w:t xml:space="preserve">UserOperations (UserOps): </w:t>
      </w:r>
      <w:r>
        <w:rPr>
          <w:rFonts w:ascii="Calibri" w:cs="Calibri" w:eastAsia="Calibri" w:hAnsi="Calibri"/>
          <w:sz w:val="22"/>
          <w:szCs w:val="22"/>
        </w:rPr>
        <w:t xml:space="preserve">Instead of broadcasting raw transactions, users sign off-chain UserOperation objects detailing their intended action (e.g., token swap or token launch).</w:t>
      </w:r>
    </w:p>
    <w:p>
      <w:pPr>
        <w:pStyle w:val="ListParagraph"/>
        <w:numPr>
          <w:ilvl w:val="0"/>
          <w:numId w:val="2"/>
        </w:numPr>
        <w:spacing w:after="100"/>
      </w:pPr>
      <w:r>
        <w:rPr>
          <w:rFonts w:ascii="Calibri" w:cs="Calibri" w:eastAsia="Calibri" w:hAnsi="Calibri"/>
          <w:b/>
          <w:bCs/>
          <w:sz w:val="22"/>
          <w:szCs w:val="22"/>
        </w:rPr>
        <w:t xml:space="preserve">Bagua Paymaster: </w:t>
      </w:r>
      <w:r>
        <w:rPr>
          <w:rFonts w:ascii="Calibri" w:cs="Calibri" w:eastAsia="Calibri" w:hAnsi="Calibri"/>
          <w:sz w:val="22"/>
          <w:szCs w:val="22"/>
        </w:rPr>
        <w:t xml:space="preserve">A specialized ERC-4337 Paymaster smart contract intercepts the UserOp. If the user holds Bagua ($BAG), the Paymaster validates the transaction, accepts payment in Bagua ($BAG) directly from the user's Smart Account, and sponsors the required native gas token directly to the blockchain's EntryPoint contract.</w:t>
      </w:r>
    </w:p>
    <w:p>
      <w:pPr>
        <w:pStyle w:val="ListParagraph"/>
        <w:numPr>
          <w:ilvl w:val="0"/>
          <w:numId w:val="2"/>
        </w:numPr>
        <w:spacing w:after="100"/>
      </w:pPr>
      <w:r>
        <w:rPr>
          <w:rFonts w:ascii="Calibri" w:cs="Calibri" w:eastAsia="Calibri" w:hAnsi="Calibri"/>
          <w:b/>
          <w:bCs/>
          <w:sz w:val="22"/>
          <w:szCs w:val="22"/>
        </w:rPr>
        <w:t xml:space="preserve">Bundlers: </w:t>
      </w:r>
      <w:r>
        <w:rPr>
          <w:rFonts w:ascii="Calibri" w:cs="Calibri" w:eastAsia="Calibri" w:hAnsi="Calibri"/>
          <w:sz w:val="22"/>
          <w:szCs w:val="22"/>
        </w:rPr>
        <w:t xml:space="preserve">Off-chain Bundlers collect UserOperations from the alt-mempool, package them into a single bundle transaction, and submit them to the network EntryPoint contract for execution.</w:t>
      </w:r>
    </w:p>
    <w:p>
      <w:pPr>
        <w:pStyle w:val="Heading1"/>
        <w:spacing w:after="160" w:before="360"/>
      </w:pPr>
      <w:r>
        <w:t xml:space="preserve">3. TOKENOMICS &amp; ALLOCATION</w:t>
      </w:r>
    </w:p>
    <w:p>
      <w:pPr>
        <w:pStyle w:val="Heading2"/>
        <w:spacing w:after="120" w:before="260"/>
      </w:pPr>
      <w:r>
        <w:t xml:space="preserve">3.1 Token Specifications</w:t>
      </w:r>
    </w:p>
    <w:tbl>
      <w:tblPr>
        <w:tblW w:type="dxa" w:w="990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300"/>
      </w:tblGrid>
      <w:tr>
        <w:tc>
          <w:tcPr>
            <w:tcW w:type="dxa" w:w="3600"/>
            <w:shd w:fill="1F1F1F"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Parameter</w:t>
            </w:r>
          </w:p>
        </w:tc>
        <w:tc>
          <w:tcPr>
            <w:tcW w:type="dxa" w:w="6300"/>
            <w:shd w:fill="1F1F1F"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Specification</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Token Name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Bagua</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Ticker Symbol</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BAG</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Maximum Supply</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1,000,000,000 BAG (1 Billion)</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Genesis Blockchain</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GIWA Network</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Supported Standard</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GIWA Native (ERC-20 Compatible)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Relayer Standard</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ERC-4337 Compliant (EntryPoint v0.7 / Custom Paymaster)</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Token Type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Utility, Governance, and Paymaster Gas Settlement</w:t>
            </w:r>
          </w:p>
        </w:tc>
      </w:tr>
    </w:tbl>
    <w:p>
      <w:pPr>
        <w:spacing w:after="200"/>
      </w:pPr>
    </w:p>
    <w:p>
      <w:pPr>
        <w:pStyle w:val="Heading2"/>
        <w:spacing w:after="120" w:before="260"/>
      </w:pPr>
      <w:r>
        <w:t xml:space="preserve">3.2 Token Allocation &amp; Distribution</w:t>
      </w:r>
    </w:p>
    <w:tbl>
      <w:tblPr>
        <w:tblW w:type="dxa" w:w="990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6300"/>
      </w:tblGrid>
      <w:tr>
        <w:tc>
          <w:tcPr>
            <w:tcW w:type="dxa" w:w="3600"/>
            <w:shd w:fill="1F1F1F"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Allocation Category</w:t>
            </w:r>
          </w:p>
        </w:tc>
        <w:tc>
          <w:tcPr>
            <w:tcW w:type="dxa" w:w="6300"/>
            <w:shd w:fill="1F1F1F" w:val="clear"/>
            <w:tcMar>
              <w:top w:type="dxa" w:w="100"/>
              <w:left w:type="dxa" w:w="120"/>
              <w:bottom w:type="dxa" w:w="100"/>
              <w:right w:type="dxa" w:w="120"/>
            </w:tcMar>
            <w:vAlign w:val="center"/>
          </w:tcPr>
          <w:p>
            <w:pPr>
              <w:jc w:val="left"/>
            </w:pPr>
            <w:r>
              <w:rPr>
                <w:rFonts w:ascii="Calibri" w:cs="Calibri" w:eastAsia="Calibri" w:hAnsi="Calibri"/>
                <w:b/>
                <w:bCs/>
                <w:color w:val="FFFFFF"/>
                <w:sz w:val="22"/>
                <w:szCs w:val="22"/>
              </w:rPr>
              <w:t xml:space="preserve">Percentage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DEX Liquidity Pools &amp; Ecosystem Reserves</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40%</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Launchpad IDO &amp; Public Ecosystem Allocation</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25%</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Community Staking Rewards &amp; Yield Farming</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15%</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Dev &amp; Core Team (24-Month Linear Vesting)</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10%</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Global Marketing, Strategic Partnerships &amp; CEX Reserve</w:t>
            </w:r>
          </w:p>
        </w:tc>
        <w:tc>
          <w:tcPr>
            <w:tcW w:type="dxa" w:w="6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2"/>
                <w:szCs w:val="22"/>
              </w:rPr>
              <w:t xml:space="preserve">10%</w:t>
            </w:r>
          </w:p>
        </w:tc>
      </w:tr>
    </w:tbl>
    <w:p>
      <w:pPr>
        <w:spacing w:after="200" w:before="200"/>
      </w:pPr>
    </w:p>
    <w:p>
      <w:pPr>
        <w:spacing w:after="140"/>
      </w:pPr>
      <w:r>
        <w:rPr>
          <w:rFonts w:ascii="Calibri" w:cs="Calibri" w:eastAsia="Calibri" w:hAnsi="Calibri"/>
          <w:b/>
          <w:bCs/>
          <w:sz w:val="22"/>
          <w:szCs w:val="22"/>
        </w:rPr>
        <w:t xml:space="preserve">1. </w:t>
      </w:r>
      <w:r>
        <w:rPr>
          <w:rFonts w:ascii="Calibri" w:cs="Calibri" w:eastAsia="Calibri" w:hAnsi="Calibri"/>
          <w:b/>
          <w:bCs/>
          <w:sz w:val="22"/>
          <w:szCs w:val="22"/>
        </w:rPr>
        <w:t xml:space="preserve">40% Liquidity Pools &amp; Ecosystem Reserves: </w:t>
      </w:r>
      <w:r>
        <w:rPr>
          <w:rFonts w:ascii="Calibri" w:cs="Calibri" w:eastAsia="Calibri" w:hAnsi="Calibri"/>
          <w:sz w:val="22"/>
          <w:szCs w:val="22"/>
        </w:rPr>
        <w:t xml:space="preserve">Allocated for primary GIWA Mainnet liquidity pools, with remaining reserves locked to support long-term liquidity stability.</w:t>
      </w:r>
    </w:p>
    <w:p>
      <w:pPr>
        <w:spacing w:after="140"/>
      </w:pPr>
      <w:r>
        <w:rPr>
          <w:rFonts w:ascii="Calibri" w:cs="Calibri" w:eastAsia="Calibri" w:hAnsi="Calibri"/>
          <w:b/>
          <w:bCs/>
          <w:sz w:val="22"/>
          <w:szCs w:val="22"/>
        </w:rPr>
        <w:t xml:space="preserve">2. </w:t>
      </w:r>
      <w:r>
        <w:rPr>
          <w:rFonts w:ascii="Calibri" w:cs="Calibri" w:eastAsia="Calibri" w:hAnsi="Calibri"/>
          <w:b/>
          <w:bCs/>
          <w:sz w:val="22"/>
          <w:szCs w:val="22"/>
        </w:rPr>
        <w:t xml:space="preserve">25% Launchpad &amp; Public Ecosystem: </w:t>
      </w:r>
      <w:r>
        <w:rPr>
          <w:rFonts w:ascii="Calibri" w:cs="Calibri" w:eastAsia="Calibri" w:hAnsi="Calibri"/>
          <w:sz w:val="22"/>
          <w:szCs w:val="22"/>
        </w:rPr>
        <w:t xml:space="preserve">Allocated for presale, IDO launches, and early ecosystem bootstrapping.</w:t>
      </w:r>
    </w:p>
    <w:p>
      <w:pPr>
        <w:spacing w:after="140"/>
      </w:pPr>
      <w:r>
        <w:rPr>
          <w:rFonts w:ascii="Calibri" w:cs="Calibri" w:eastAsia="Calibri" w:hAnsi="Calibri"/>
          <w:b/>
          <w:bCs/>
          <w:sz w:val="22"/>
          <w:szCs w:val="22"/>
        </w:rPr>
        <w:t xml:space="preserve">3. </w:t>
      </w:r>
      <w:r>
        <w:rPr>
          <w:rFonts w:ascii="Calibri" w:cs="Calibri" w:eastAsia="Calibri" w:hAnsi="Calibri"/>
          <w:b/>
          <w:bCs/>
          <w:sz w:val="22"/>
          <w:szCs w:val="22"/>
        </w:rPr>
        <w:t xml:space="preserve">15% Staking &amp; Yield Rewards: </w:t>
      </w:r>
      <w:r>
        <w:rPr>
          <w:rFonts w:ascii="Calibri" w:cs="Calibri" w:eastAsia="Calibri" w:hAnsi="Calibri"/>
          <w:sz w:val="22"/>
          <w:szCs w:val="22"/>
        </w:rPr>
        <w:t xml:space="preserve">Distributed over time to long-term Bagua ($BAG) stakers and LP providers.</w:t>
      </w:r>
    </w:p>
    <w:p>
      <w:pPr>
        <w:spacing w:after="140"/>
      </w:pPr>
      <w:r>
        <w:rPr>
          <w:rFonts w:ascii="Calibri" w:cs="Calibri" w:eastAsia="Calibri" w:hAnsi="Calibri"/>
          <w:b/>
          <w:bCs/>
          <w:sz w:val="22"/>
          <w:szCs w:val="22"/>
        </w:rPr>
        <w:t xml:space="preserve">4. </w:t>
      </w:r>
      <w:r>
        <w:rPr>
          <w:rFonts w:ascii="Calibri" w:cs="Calibri" w:eastAsia="Calibri" w:hAnsi="Calibri"/>
          <w:b/>
          <w:bCs/>
          <w:sz w:val="22"/>
          <w:szCs w:val="22"/>
        </w:rPr>
        <w:t xml:space="preserve">10% Team &amp; Development: </w:t>
      </w:r>
      <w:r>
        <w:rPr>
          <w:rFonts w:ascii="Calibri" w:cs="Calibri" w:eastAsia="Calibri" w:hAnsi="Calibri"/>
          <w:sz w:val="22"/>
          <w:szCs w:val="22"/>
        </w:rPr>
        <w:t xml:space="preserve">Subject to a 6-month cliff and 24-month linear vesting schedule starting from GIWA Mainnet TGE.</w:t>
      </w:r>
    </w:p>
    <w:p>
      <w:pPr>
        <w:spacing w:after="140"/>
      </w:pPr>
      <w:r>
        <w:rPr>
          <w:rFonts w:ascii="Calibri" w:cs="Calibri" w:eastAsia="Calibri" w:hAnsi="Calibri"/>
          <w:b/>
          <w:bCs/>
          <w:sz w:val="22"/>
          <w:szCs w:val="22"/>
        </w:rPr>
        <w:t xml:space="preserve">5. </w:t>
      </w:r>
      <w:r>
        <w:rPr>
          <w:rFonts w:ascii="Calibri" w:cs="Calibri" w:eastAsia="Calibri" w:hAnsi="Calibri"/>
          <w:b/>
          <w:bCs/>
          <w:sz w:val="22"/>
          <w:szCs w:val="22"/>
        </w:rPr>
        <w:t xml:space="preserve">10% Marketing &amp; Strategic Partnerships: </w:t>
      </w:r>
      <w:r>
        <w:rPr>
          <w:rFonts w:ascii="Calibri" w:cs="Calibri" w:eastAsia="Calibri" w:hAnsi="Calibri"/>
          <w:sz w:val="22"/>
          <w:szCs w:val="22"/>
        </w:rPr>
        <w:t xml:space="preserve">Reserved for exchange listings, audits, influencer partnerships, and promotional campaigns.</w:t>
      </w:r>
    </w:p>
    <w:p>
      <w:pPr>
        <w:pStyle w:val="Heading1"/>
        <w:spacing w:after="160" w:before="360"/>
      </w:pPr>
      <w:r>
        <w:t xml:space="preserve">4. TRANSACTION FEE STRUCTURE &amp; AUTOMATED BUYBACK &amp; BURN</w:t>
      </w:r>
    </w:p>
    <w:p>
      <w:pPr>
        <w:spacing w:after="160"/>
      </w:pPr>
      <w:r>
        <w:rPr>
          <w:rFonts w:ascii="Calibri" w:cs="Calibri" w:eastAsia="Calibri" w:hAnsi="Calibri"/>
          <w:sz w:val="22"/>
          <w:szCs w:val="22"/>
        </w:rPr>
        <w:t xml:space="preserve">Every interaction within the BaguaSwap ecosystem (swaps, token deployment, launchpad participation) incurs a small ecosystem fee, deducted in Bagua ($BAG) and split as follows:</w:t>
      </w:r>
    </w:p>
    <w:tbl>
      <w:tblPr>
        <w:tblW w:type="dxa" w:w="9900"/>
        <w:tblBorders>
          <w:top w:val="single" w:color="D9D9D9" w:sz="4"/>
          <w:left w:val="single" w:color="D9D9D9" w:sz="4"/>
          <w:bottom w:val="single" w:color="D9D9D9" w:sz="4"/>
          <w:right w:val="single" w:color="D9D9D9" w:sz="4"/>
          <w:insideH w:val="single" w:color="D9D9D9" w:sz="4"/>
          <w:insideV w:val="single" w:color="D9D9D9" w:sz="4"/>
        </w:tblBorders>
      </w:tblPr>
      <w:tblGrid>
        <w:gridCol w:w="4950"/>
        <w:gridCol w:w="4950"/>
      </w:tblGrid>
      <w:tr>
        <w:tc>
          <w:tcPr>
            <w:tcW w:type="dxa" w:w="4950"/>
            <w:shd w:fill="1F1F1F" w:val="clear"/>
            <w:tcMar>
              <w:top w:type="dxa" w:w="100"/>
              <w:left w:type="dxa" w:w="120"/>
              <w:bottom w:type="dxa" w:w="100"/>
              <w:right w:type="dxa" w:w="120"/>
            </w:tcMar>
            <w:vAlign w:val="center"/>
          </w:tcPr>
          <w:p>
            <w:pPr>
              <w:jc w:val="center"/>
            </w:pPr>
            <w:r>
              <w:rPr>
                <w:rFonts w:ascii="Calibri" w:cs="Calibri" w:eastAsia="Calibri" w:hAnsi="Calibri"/>
                <w:b/>
                <w:bCs/>
                <w:color w:val="FFFFFF"/>
                <w:sz w:val="22"/>
                <w:szCs w:val="22"/>
              </w:rPr>
              <w:t xml:space="preserve">30% FEE — Buyback &amp; Burn</w:t>
            </w:r>
          </w:p>
        </w:tc>
        <w:tc>
          <w:tcPr>
            <w:tcW w:type="dxa" w:w="4950"/>
            <w:shd w:fill="1F1F1F" w:val="clear"/>
            <w:tcMar>
              <w:top w:type="dxa" w:w="100"/>
              <w:left w:type="dxa" w:w="120"/>
              <w:bottom w:type="dxa" w:w="100"/>
              <w:right w:type="dxa" w:w="120"/>
            </w:tcMar>
            <w:vAlign w:val="center"/>
          </w:tcPr>
          <w:p>
            <w:pPr>
              <w:jc w:val="center"/>
            </w:pPr>
            <w:r>
              <w:rPr>
                <w:rFonts w:ascii="Calibri" w:cs="Calibri" w:eastAsia="Calibri" w:hAnsi="Calibri"/>
                <w:b/>
                <w:bCs/>
                <w:color w:val="FFFFFF"/>
                <w:sz w:val="22"/>
                <w:szCs w:val="22"/>
              </w:rPr>
              <w:t xml:space="preserve">70% FEE — Dev &amp; Treasury</w:t>
            </w:r>
          </w:p>
        </w:tc>
      </w:tr>
      <w:tr>
        <w:tc>
          <w:tcPr>
            <w:tcW w:type="dxa" w:w="49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Automated Smart Contract Market Buyback &amp; Burn (permanent Bagua supply cut)</w:t>
            </w:r>
          </w:p>
        </w:tc>
        <w:tc>
          <w:tcPr>
            <w:tcW w:type="dxa" w:w="495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Dev &amp; Treasury Wallet (operations, ERC-4337 Paymaster liquidity)</w:t>
            </w:r>
          </w:p>
        </w:tc>
      </w:tr>
    </w:tbl>
    <w:p>
      <w:pPr>
        <w:spacing w:after="200" w:before="200"/>
      </w:pPr>
    </w:p>
    <w:p>
      <w:pPr>
        <w:pStyle w:val="Heading2"/>
        <w:spacing w:after="120" w:before="260"/>
      </w:pPr>
      <w:r>
        <w:t xml:space="preserve">4.1 Automated 30% Buyback &amp; Burn Mechanism</w:t>
      </w:r>
    </w:p>
    <w:p>
      <w:pPr>
        <w:pStyle w:val="ListParagraph"/>
        <w:numPr>
          <w:ilvl w:val="0"/>
          <w:numId w:val="2"/>
        </w:numPr>
        <w:spacing w:after="100"/>
      </w:pPr>
      <w:r>
        <w:rPr>
          <w:rFonts w:ascii="Calibri" w:cs="Calibri" w:eastAsia="Calibri" w:hAnsi="Calibri"/>
          <w:b/>
          <w:bCs/>
          <w:sz w:val="22"/>
          <w:szCs w:val="22"/>
        </w:rPr>
        <w:t xml:space="preserve">Continuous Market Pressure: </w:t>
      </w:r>
      <w:r>
        <w:rPr>
          <w:rFonts w:ascii="Calibri" w:cs="Calibri" w:eastAsia="Calibri" w:hAnsi="Calibri"/>
          <w:sz w:val="22"/>
          <w:szCs w:val="22"/>
        </w:rPr>
        <w:t xml:space="preserve">30% of all accrued ecosystem fees are routed directly into the Automated Buyback Smart Contract.</w:t>
      </w:r>
    </w:p>
    <w:p>
      <w:pPr>
        <w:pStyle w:val="ListParagraph"/>
        <w:numPr>
          <w:ilvl w:val="0"/>
          <w:numId w:val="2"/>
        </w:numPr>
        <w:spacing w:after="100"/>
      </w:pPr>
      <w:r>
        <w:rPr>
          <w:rFonts w:ascii="Calibri" w:cs="Calibri" w:eastAsia="Calibri" w:hAnsi="Calibri"/>
          <w:b/>
          <w:bCs/>
          <w:sz w:val="22"/>
          <w:szCs w:val="22"/>
        </w:rPr>
        <w:t xml:space="preserve">Auto-Execution: </w:t>
      </w:r>
      <w:r>
        <w:rPr>
          <w:rFonts w:ascii="Calibri" w:cs="Calibri" w:eastAsia="Calibri" w:hAnsi="Calibri"/>
          <w:sz w:val="22"/>
          <w:szCs w:val="22"/>
        </w:rPr>
        <w:t xml:space="preserve">Upon reaching a defined threshold, the contract automatically purchases Bagua ($BAG) tokens directly from the open market AMM pools.</w:t>
      </w:r>
    </w:p>
    <w:p>
      <w:pPr>
        <w:pStyle w:val="ListParagraph"/>
        <w:numPr>
          <w:ilvl w:val="0"/>
          <w:numId w:val="2"/>
        </w:numPr>
        <w:spacing w:after="100"/>
      </w:pPr>
      <w:r>
        <w:rPr>
          <w:rFonts w:ascii="Calibri" w:cs="Calibri" w:eastAsia="Calibri" w:hAnsi="Calibri"/>
          <w:b/>
          <w:bCs/>
          <w:sz w:val="22"/>
          <w:szCs w:val="22"/>
        </w:rPr>
        <w:t xml:space="preserve">Permanent Destruction: </w:t>
      </w:r>
      <w:r>
        <w:rPr>
          <w:rFonts w:ascii="Calibri" w:cs="Calibri" w:eastAsia="Calibri" w:hAnsi="Calibri"/>
          <w:sz w:val="22"/>
          <w:szCs w:val="22"/>
        </w:rPr>
        <w:t xml:space="preserve">Purchased Bagua ($BAG) tokens are immediately sent to the null burn address (0x000000000000000000000000000000000000dEaD), permanently reducing the circulating supply and creating compounding scarcity.</w:t>
      </w:r>
    </w:p>
    <w:p>
      <w:pPr>
        <w:pStyle w:val="Heading2"/>
        <w:spacing w:after="120" w:before="260"/>
      </w:pPr>
      <w:r>
        <w:t xml:space="preserve">4.2 70% Dev &amp; Treasury Allocation</w:t>
      </w:r>
    </w:p>
    <w:p>
      <w:pPr>
        <w:spacing w:after="160"/>
      </w:pPr>
      <w:r>
        <w:rPr>
          <w:rFonts w:ascii="Calibri" w:cs="Calibri" w:eastAsia="Calibri" w:hAnsi="Calibri"/>
          <w:sz w:val="22"/>
          <w:szCs w:val="22"/>
        </w:rPr>
        <w:t xml:space="preserve">The remaining 70% of ecosystem fees is directed to the multi-signature Dev Treasury to fund:</w:t>
      </w:r>
    </w:p>
    <w:p>
      <w:pPr>
        <w:pStyle w:val="ListParagraph"/>
        <w:numPr>
          <w:ilvl w:val="0"/>
          <w:numId w:val="2"/>
        </w:numPr>
        <w:spacing w:after="100"/>
      </w:pPr>
      <w:r>
        <w:rPr>
          <w:rFonts w:ascii="Calibri" w:cs="Calibri" w:eastAsia="Calibri" w:hAnsi="Calibri"/>
          <w:sz w:val="22"/>
          <w:szCs w:val="22"/>
        </w:rPr>
        <w:t xml:space="preserve">Liquidity deposits in the ERC-4337 Paymaster Contract on the GIWA Mainnet EntryPoint.</w:t>
      </w:r>
    </w:p>
    <w:p>
      <w:pPr>
        <w:pStyle w:val="ListParagraph"/>
        <w:numPr>
          <w:ilvl w:val="0"/>
          <w:numId w:val="2"/>
        </w:numPr>
        <w:spacing w:after="100"/>
      </w:pPr>
      <w:r>
        <w:rPr>
          <w:rFonts w:ascii="Calibri" w:cs="Calibri" w:eastAsia="Calibri" w:hAnsi="Calibri"/>
          <w:sz w:val="22"/>
          <w:szCs w:val="22"/>
        </w:rPr>
        <w:t xml:space="preserve">Continuous infrastructure engineering and smart contract development.</w:t>
      </w:r>
    </w:p>
    <w:p>
      <w:pPr>
        <w:pStyle w:val="ListParagraph"/>
        <w:numPr>
          <w:ilvl w:val="0"/>
          <w:numId w:val="2"/>
        </w:numPr>
        <w:spacing w:after="100"/>
      </w:pPr>
      <w:r>
        <w:rPr>
          <w:rFonts w:ascii="Calibri" w:cs="Calibri" w:eastAsia="Calibri" w:hAnsi="Calibri"/>
          <w:sz w:val="22"/>
          <w:szCs w:val="22"/>
        </w:rPr>
        <w:t xml:space="preserve">Tier-1 and Tier-2 Centralized Exchange (CEX) listing fees.</w:t>
      </w:r>
    </w:p>
    <w:p>
      <w:pPr>
        <w:pStyle w:val="ListParagraph"/>
        <w:numPr>
          <w:ilvl w:val="0"/>
          <w:numId w:val="2"/>
        </w:numPr>
        <w:spacing w:after="100"/>
      </w:pPr>
      <w:r>
        <w:rPr>
          <w:rFonts w:ascii="Calibri" w:cs="Calibri" w:eastAsia="Calibri" w:hAnsi="Calibri"/>
          <w:sz w:val="22"/>
          <w:szCs w:val="22"/>
        </w:rPr>
        <w:t xml:space="preserve">Comprehensive third-party security audits and bug bounty programs.</w:t>
      </w:r>
    </w:p>
    <w:p>
      <w:pPr>
        <w:pStyle w:val="Heading1"/>
        <w:spacing w:after="160" w:before="360"/>
      </w:pPr>
      <w:r>
        <w:t xml:space="preserve">5. MILESTONE-BASED EXECUTION ROADMAP</w:t>
      </w:r>
    </w:p>
    <w:tbl>
      <w:tblPr>
        <w:tblW w:type="dxa" w:w="9900"/>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3300"/>
        <w:gridCol w:w="3300"/>
      </w:tblGrid>
      <w:tr>
        <w:tc>
          <w:tcPr>
            <w:tcW w:type="dxa" w:w="3300"/>
            <w:shd w:fill="1F1F1F" w:val="clear"/>
            <w:tcMar>
              <w:top w:type="dxa" w:w="100"/>
              <w:left w:type="dxa" w:w="120"/>
              <w:bottom w:type="dxa" w:w="100"/>
              <w:right w:type="dxa" w:w="120"/>
            </w:tcMar>
            <w:vAlign w:val="center"/>
          </w:tcPr>
          <w:p>
            <w:pPr>
              <w:jc w:val="center"/>
            </w:pPr>
            <w:r>
              <w:rPr>
                <w:rFonts w:ascii="Calibri" w:cs="Calibri" w:eastAsia="Calibri" w:hAnsi="Calibri"/>
                <w:b/>
                <w:bCs/>
                <w:color w:val="FFFFFF"/>
                <w:sz w:val="22"/>
                <w:szCs w:val="22"/>
              </w:rPr>
              <w:t xml:space="preserve">MILESTONE 1</w:t>
            </w:r>
          </w:p>
        </w:tc>
        <w:tc>
          <w:tcPr>
            <w:tcW w:type="dxa" w:w="3300"/>
            <w:shd w:fill="1F1F1F" w:val="clear"/>
            <w:tcMar>
              <w:top w:type="dxa" w:w="100"/>
              <w:left w:type="dxa" w:w="120"/>
              <w:bottom w:type="dxa" w:w="100"/>
              <w:right w:type="dxa" w:w="120"/>
            </w:tcMar>
            <w:vAlign w:val="center"/>
          </w:tcPr>
          <w:p>
            <w:pPr>
              <w:jc w:val="center"/>
            </w:pPr>
            <w:r>
              <w:rPr>
                <w:rFonts w:ascii="Calibri" w:cs="Calibri" w:eastAsia="Calibri" w:hAnsi="Calibri"/>
                <w:b/>
                <w:bCs/>
                <w:color w:val="FFFFFF"/>
                <w:sz w:val="22"/>
                <w:szCs w:val="22"/>
              </w:rPr>
              <w:t xml:space="preserve">MILESTONE 2</w:t>
            </w:r>
          </w:p>
        </w:tc>
        <w:tc>
          <w:tcPr>
            <w:tcW w:type="dxa" w:w="3300"/>
            <w:shd w:fill="1F1F1F" w:val="clear"/>
            <w:tcMar>
              <w:top w:type="dxa" w:w="100"/>
              <w:left w:type="dxa" w:w="120"/>
              <w:bottom w:type="dxa" w:w="100"/>
              <w:right w:type="dxa" w:w="120"/>
            </w:tcMar>
            <w:vAlign w:val="center"/>
          </w:tcPr>
          <w:p>
            <w:pPr>
              <w:jc w:val="center"/>
            </w:pPr>
            <w:r>
              <w:rPr>
                <w:rFonts w:ascii="Calibri" w:cs="Calibri" w:eastAsia="Calibri" w:hAnsi="Calibri"/>
                <w:b/>
                <w:bCs/>
                <w:color w:val="FFFFFF"/>
                <w:sz w:val="22"/>
                <w:szCs w:val="22"/>
              </w:rPr>
              <w:t xml:space="preserve">MILESTONE 3</w:t>
            </w:r>
          </w:p>
        </w:tc>
      </w:tr>
      <w:tr>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GIWA Testnet &amp; Audits</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GIWA Mainnet Genesis</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CEX Integration &amp; DAO Governance</w:t>
            </w:r>
          </w:p>
        </w:tc>
      </w:tr>
      <w:tr>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Active</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Pending GIWA Mainnet</w:t>
            </w:r>
          </w:p>
        </w:tc>
        <w:tc>
          <w:tcPr>
            <w:tcW w:type="dxa" w:w="33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2"/>
                <w:szCs w:val="22"/>
              </w:rPr>
              <w:t xml:space="preserve">Global Scale</w:t>
            </w:r>
          </w:p>
        </w:tc>
      </w:tr>
    </w:tbl>
    <w:p>
      <w:pPr>
        <w:spacing w:after="200" w:before="240"/>
      </w:pPr>
    </w:p>
    <w:p>
      <w:pPr>
        <w:pStyle w:val="Heading2"/>
        <w:spacing w:after="120" w:before="260"/>
      </w:pPr>
      <w:r>
        <w:t xml:space="preserve">Milestone 1: GIWA Testnet Validation &amp; Security Audits (Active Phase)</w:t>
      </w:r>
    </w:p>
    <w:p>
      <w:pPr>
        <w:pStyle w:val="ListParagraph"/>
        <w:numPr>
          <w:ilvl w:val="0"/>
          <w:numId w:val="2"/>
        </w:numPr>
        <w:spacing w:after="100"/>
      </w:pPr>
      <w:r>
        <w:rPr>
          <w:rFonts w:ascii="Calibri" w:cs="Calibri" w:eastAsia="Calibri" w:hAnsi="Calibri"/>
          <w:sz w:val="22"/>
          <w:szCs w:val="22"/>
        </w:rPr>
        <w:t xml:space="preserve">Deployment of core smart contracts on GIWA Testnet (Bagua Testnet Token, AMM DEX V1, Launchpad Engine).</w:t>
      </w:r>
    </w:p>
    <w:p>
      <w:pPr>
        <w:pStyle w:val="ListParagraph"/>
        <w:numPr>
          <w:ilvl w:val="0"/>
          <w:numId w:val="2"/>
        </w:numPr>
        <w:spacing w:after="100"/>
      </w:pPr>
      <w:r>
        <w:rPr>
          <w:rFonts w:ascii="Calibri" w:cs="Calibri" w:eastAsia="Calibri" w:hAnsi="Calibri"/>
          <w:sz w:val="22"/>
          <w:szCs w:val="22"/>
        </w:rPr>
        <w:t xml:space="preserve">Rigorous testing and optimization of the ERC-4337 Bagua Paymaster and Bundler nodes on GIWA Testnet.</w:t>
      </w:r>
    </w:p>
    <w:p>
      <w:pPr>
        <w:pStyle w:val="ListParagraph"/>
        <w:numPr>
          <w:ilvl w:val="0"/>
          <w:numId w:val="2"/>
        </w:numPr>
        <w:spacing w:after="100"/>
      </w:pPr>
      <w:r>
        <w:rPr>
          <w:rFonts w:ascii="Calibri" w:cs="Calibri" w:eastAsia="Calibri" w:hAnsi="Calibri"/>
          <w:sz w:val="22"/>
          <w:szCs w:val="22"/>
        </w:rPr>
        <w:t xml:space="preserve">Execution of third-party smart contract audits for all core protocols.</w:t>
      </w:r>
    </w:p>
    <w:p>
      <w:pPr>
        <w:pStyle w:val="ListParagraph"/>
        <w:numPr>
          <w:ilvl w:val="0"/>
          <w:numId w:val="2"/>
        </w:numPr>
        <w:spacing w:after="100"/>
      </w:pPr>
      <w:r>
        <w:rPr>
          <w:rFonts w:ascii="Calibri" w:cs="Calibri" w:eastAsia="Calibri" w:hAnsi="Calibri"/>
          <w:sz w:val="22"/>
          <w:szCs w:val="22"/>
        </w:rPr>
        <w:t xml:space="preserve">Community Incentivized Testnet Campaign (Bug Bounties &amp; Feedback Program).</w:t>
      </w:r>
    </w:p>
    <w:p>
      <w:pPr>
        <w:pStyle w:val="Heading2"/>
        <w:spacing w:after="120" w:before="260"/>
      </w:pPr>
      <w:r>
        <w:t xml:space="preserve">Milestone 2: GIWA Mainnet Launch &amp; Token Genesis</w:t>
      </w:r>
    </w:p>
    <w:p>
      <w:pPr>
        <w:spacing w:after="160"/>
      </w:pPr>
      <w:r>
        <w:rPr>
          <w:rFonts w:ascii="Calibri" w:cs="Calibri" w:eastAsia="Calibri" w:hAnsi="Calibri"/>
          <w:sz w:val="22"/>
          <w:szCs w:val="22"/>
        </w:rPr>
        <w:t xml:space="preserve">Triggered by the GIWA Mainnet unveiling.</w:t>
      </w:r>
    </w:p>
    <w:p>
      <w:pPr>
        <w:pStyle w:val="ListParagraph"/>
        <w:numPr>
          <w:ilvl w:val="0"/>
          <w:numId w:val="2"/>
        </w:numPr>
        <w:spacing w:after="100"/>
      </w:pPr>
      <w:r>
        <w:rPr>
          <w:rFonts w:ascii="Calibri" w:cs="Calibri" w:eastAsia="Calibri" w:hAnsi="Calibri"/>
          <w:sz w:val="22"/>
          <w:szCs w:val="22"/>
        </w:rPr>
        <w:t xml:space="preserve">Official Token Generation Event (TGE) for Bagua ($BAG) exclusively on GIWA Mainnet.</w:t>
      </w:r>
    </w:p>
    <w:p>
      <w:pPr>
        <w:pStyle w:val="ListParagraph"/>
        <w:numPr>
          <w:ilvl w:val="0"/>
          <w:numId w:val="2"/>
        </w:numPr>
        <w:spacing w:after="100"/>
      </w:pPr>
      <w:r>
        <w:rPr>
          <w:rFonts w:ascii="Calibri" w:cs="Calibri" w:eastAsia="Calibri" w:hAnsi="Calibri"/>
          <w:sz w:val="22"/>
          <w:szCs w:val="22"/>
        </w:rPr>
        <w:t xml:space="preserve">Launch of Bagua AMM DEX V1 &amp; Primary Liquidity Pools on GIWA Mainnet.</w:t>
      </w:r>
    </w:p>
    <w:p>
      <w:pPr>
        <w:pStyle w:val="ListParagraph"/>
        <w:numPr>
          <w:ilvl w:val="0"/>
          <w:numId w:val="2"/>
        </w:numPr>
        <w:spacing w:after="100"/>
      </w:pPr>
      <w:r>
        <w:rPr>
          <w:rFonts w:ascii="Calibri" w:cs="Calibri" w:eastAsia="Calibri" w:hAnsi="Calibri"/>
          <w:sz w:val="22"/>
          <w:szCs w:val="22"/>
        </w:rPr>
        <w:t xml:space="preserve">Activation of the live ERC-4337 Paymaster on GIWA Mainnet for gasless Bagua ($BAG) swaps and coin launches.</w:t>
      </w:r>
    </w:p>
    <w:p>
      <w:pPr>
        <w:pStyle w:val="ListParagraph"/>
        <w:numPr>
          <w:ilvl w:val="0"/>
          <w:numId w:val="2"/>
        </w:numPr>
        <w:spacing w:after="100"/>
      </w:pPr>
      <w:r>
        <w:rPr>
          <w:rFonts w:ascii="Calibri" w:cs="Calibri" w:eastAsia="Calibri" w:hAnsi="Calibri"/>
          <w:sz w:val="22"/>
          <w:szCs w:val="22"/>
        </w:rPr>
        <w:t xml:space="preserve">Activation of the Automated 30% Buyback &amp; Burn Smart Contract on live GIWA pools.</w:t>
      </w:r>
    </w:p>
    <w:p>
      <w:pPr>
        <w:pStyle w:val="ListParagraph"/>
        <w:numPr>
          <w:ilvl w:val="0"/>
          <w:numId w:val="2"/>
        </w:numPr>
        <w:spacing w:after="100"/>
      </w:pPr>
      <w:r>
        <w:rPr>
          <w:rFonts w:ascii="Calibri" w:cs="Calibri" w:eastAsia="Calibri" w:hAnsi="Calibri"/>
          <w:sz w:val="22"/>
          <w:szCs w:val="22"/>
        </w:rPr>
        <w:t xml:space="preserve">Onboarding of GIWA-native projects onto the Bagua Launchpad.</w:t>
      </w:r>
    </w:p>
    <w:p>
      <w:pPr>
        <w:pStyle w:val="Heading2"/>
        <w:spacing w:after="120" w:before="260"/>
      </w:pPr>
      <w:r>
        <w:t xml:space="preserve">Milestone 3: CEX Integration &amp; DAO Governance (Global Scale)</w:t>
      </w:r>
    </w:p>
    <w:p>
      <w:pPr>
        <w:pStyle w:val="ListParagraph"/>
        <w:numPr>
          <w:ilvl w:val="0"/>
          <w:numId w:val="2"/>
        </w:numPr>
        <w:spacing w:after="100"/>
      </w:pPr>
      <w:r>
        <w:rPr>
          <w:rFonts w:ascii="Calibri" w:cs="Calibri" w:eastAsia="Calibri" w:hAnsi="Calibri"/>
          <w:sz w:val="22"/>
          <w:szCs w:val="22"/>
        </w:rPr>
        <w:t xml:space="preserve">Centralized Exchange (CEX) listings on Tier-1 and Tier-2 platforms.</w:t>
      </w:r>
    </w:p>
    <w:p>
      <w:pPr>
        <w:pStyle w:val="ListParagraph"/>
        <w:numPr>
          <w:ilvl w:val="0"/>
          <w:numId w:val="2"/>
        </w:numPr>
        <w:spacing w:after="100"/>
      </w:pPr>
      <w:r>
        <w:rPr>
          <w:rFonts w:ascii="Calibri" w:cs="Calibri" w:eastAsia="Calibri" w:hAnsi="Calibri"/>
          <w:sz w:val="22"/>
          <w:szCs w:val="22"/>
        </w:rPr>
        <w:t xml:space="preserve">Expansion of staking tiers and long-term yield farming incentives.</w:t>
      </w:r>
    </w:p>
    <w:p>
      <w:pPr>
        <w:pStyle w:val="ListParagraph"/>
        <w:numPr>
          <w:ilvl w:val="0"/>
          <w:numId w:val="2"/>
        </w:numPr>
        <w:spacing w:after="100"/>
      </w:pPr>
      <w:r>
        <w:rPr>
          <w:rFonts w:ascii="Calibri" w:cs="Calibri" w:eastAsia="Calibri" w:hAnsi="Calibri"/>
          <w:sz w:val="22"/>
          <w:szCs w:val="22"/>
        </w:rPr>
        <w:t xml:space="preserve">Transition to full Decentralized Autonomous Organization (DAO) governance.</w:t>
      </w:r>
    </w:p>
    <w:p>
      <w:pPr>
        <w:pStyle w:val="Heading1"/>
        <w:spacing w:after="160" w:before="360"/>
      </w:pPr>
      <w:r>
        <w:t xml:space="preserve">6. TRANSACTION LIFECYCLE</w:t>
      </w:r>
    </w:p>
    <w:p>
      <w:pPr>
        <w:spacing w:after="160"/>
      </w:pPr>
      <w:r>
        <w:rPr>
          <w:rFonts w:ascii="Calibri" w:cs="Calibri" w:eastAsia="Calibri" w:hAnsi="Calibri"/>
          <w:sz w:val="22"/>
          <w:szCs w:val="22"/>
        </w:rPr>
        <w:t xml:space="preserve">Each ecosystem transaction follows a fixed on-chain lifecycle, from signature to settlement:</w:t>
      </w:r>
    </w:p>
    <w:p>
      <w:pPr>
        <w:spacing w:after="140"/>
      </w:pPr>
      <w:r>
        <w:rPr>
          <w:rFonts w:ascii="Calibri" w:cs="Calibri" w:eastAsia="Calibri" w:hAnsi="Calibri"/>
          <w:b/>
          <w:bCs/>
          <w:sz w:val="22"/>
          <w:szCs w:val="22"/>
        </w:rPr>
        <w:t xml:space="preserve">1. </w:t>
      </w:r>
      <w:r>
        <w:rPr>
          <w:rFonts w:ascii="Calibri" w:cs="Calibri" w:eastAsia="Calibri" w:hAnsi="Calibri"/>
          <w:b/>
          <w:bCs/>
          <w:sz w:val="22"/>
          <w:szCs w:val="22"/>
        </w:rPr>
        <w:t xml:space="preserve">Sign: </w:t>
      </w:r>
      <w:r>
        <w:rPr>
          <w:rFonts w:ascii="Calibri" w:cs="Calibri" w:eastAsia="Calibri" w:hAnsi="Calibri"/>
          <w:sz w:val="22"/>
          <w:szCs w:val="22"/>
        </w:rPr>
        <w:t xml:space="preserve">The user (holding Bagua $BAG, with 0 native gas required) signs a UserOperation (UserOp) via their Smart Account.</w:t>
      </w:r>
    </w:p>
    <w:p>
      <w:pPr>
        <w:spacing w:after="140"/>
      </w:pPr>
      <w:r>
        <w:rPr>
          <w:rFonts w:ascii="Calibri" w:cs="Calibri" w:eastAsia="Calibri" w:hAnsi="Calibri"/>
          <w:b/>
          <w:bCs/>
          <w:sz w:val="22"/>
          <w:szCs w:val="22"/>
        </w:rPr>
        <w:t xml:space="preserve">2. </w:t>
      </w:r>
      <w:r>
        <w:rPr>
          <w:rFonts w:ascii="Calibri" w:cs="Calibri" w:eastAsia="Calibri" w:hAnsi="Calibri"/>
          <w:b/>
          <w:bCs/>
          <w:sz w:val="22"/>
          <w:szCs w:val="22"/>
        </w:rPr>
        <w:t xml:space="preserve">Bundle: </w:t>
      </w:r>
      <w:r>
        <w:rPr>
          <w:rFonts w:ascii="Calibri" w:cs="Calibri" w:eastAsia="Calibri" w:hAnsi="Calibri"/>
          <w:sz w:val="22"/>
          <w:szCs w:val="22"/>
        </w:rPr>
        <w:t xml:space="preserve">The UserOp is submitted to the alt-mempool, where a Bundler Node validates it and packages it with other UserOperations into a single bundle transaction.</w:t>
      </w:r>
    </w:p>
    <w:p>
      <w:pPr>
        <w:spacing w:after="140"/>
      </w:pPr>
      <w:r>
        <w:rPr>
          <w:rFonts w:ascii="Calibri" w:cs="Calibri" w:eastAsia="Calibri" w:hAnsi="Calibri"/>
          <w:b/>
          <w:bCs/>
          <w:sz w:val="22"/>
          <w:szCs w:val="22"/>
        </w:rPr>
        <w:t xml:space="preserve">3. </w:t>
      </w:r>
      <w:r>
        <w:rPr>
          <w:rFonts w:ascii="Calibri" w:cs="Calibri" w:eastAsia="Calibri" w:hAnsi="Calibri"/>
          <w:b/>
          <w:bCs/>
          <w:sz w:val="22"/>
          <w:szCs w:val="22"/>
        </w:rPr>
        <w:t xml:space="preserve">Route: </w:t>
      </w:r>
      <w:r>
        <w:rPr>
          <w:rFonts w:ascii="Calibri" w:cs="Calibri" w:eastAsia="Calibri" w:hAnsi="Calibri"/>
          <w:sz w:val="22"/>
          <w:szCs w:val="22"/>
        </w:rPr>
        <w:t xml:space="preserve">The Bundler submits the bundle to the EntryPoint Smart Contract, which invokes the Bagua Paymaster via validatePaymasterUserOp.</w:t>
      </w:r>
    </w:p>
    <w:p>
      <w:pPr>
        <w:spacing w:after="140"/>
      </w:pPr>
      <w:r>
        <w:rPr>
          <w:rFonts w:ascii="Calibri" w:cs="Calibri" w:eastAsia="Calibri" w:hAnsi="Calibri"/>
          <w:b/>
          <w:bCs/>
          <w:sz w:val="22"/>
          <w:szCs w:val="22"/>
        </w:rPr>
        <w:t xml:space="preserve">4. </w:t>
      </w:r>
      <w:r>
        <w:rPr>
          <w:rFonts w:ascii="Calibri" w:cs="Calibri" w:eastAsia="Calibri" w:hAnsi="Calibri"/>
          <w:b/>
          <w:bCs/>
          <w:sz w:val="22"/>
          <w:szCs w:val="22"/>
        </w:rPr>
        <w:t xml:space="preserve">Settle: </w:t>
      </w:r>
      <w:r>
        <w:rPr>
          <w:rFonts w:ascii="Calibri" w:cs="Calibri" w:eastAsia="Calibri" w:hAnsi="Calibri"/>
          <w:sz w:val="22"/>
          <w:szCs w:val="22"/>
        </w:rPr>
        <w:t xml:space="preserve">The Bagua Paymaster deducts Bagua ($BAG) from the user's Smart Account and pays the required native gas to the EntryPoint contract.</w:t>
      </w:r>
    </w:p>
    <w:p>
      <w:pPr>
        <w:spacing w:after="140"/>
      </w:pPr>
      <w:r>
        <w:rPr>
          <w:rFonts w:ascii="Calibri" w:cs="Calibri" w:eastAsia="Calibri" w:hAnsi="Calibri"/>
          <w:b/>
          <w:bCs/>
          <w:sz w:val="22"/>
          <w:szCs w:val="22"/>
        </w:rPr>
        <w:t xml:space="preserve">5. </w:t>
      </w:r>
      <w:r>
        <w:rPr>
          <w:rFonts w:ascii="Calibri" w:cs="Calibri" w:eastAsia="Calibri" w:hAnsi="Calibri"/>
          <w:b/>
          <w:bCs/>
          <w:sz w:val="22"/>
          <w:szCs w:val="22"/>
        </w:rPr>
        <w:t xml:space="preserve">Execute: </w:t>
      </w:r>
      <w:r>
        <w:rPr>
          <w:rFonts w:ascii="Calibri" w:cs="Calibri" w:eastAsia="Calibri" w:hAnsi="Calibri"/>
          <w:sz w:val="22"/>
          <w:szCs w:val="22"/>
        </w:rPr>
        <w:t xml:space="preserve">Final contract execution completes — the token is swapped or launched.</w:t>
      </w:r>
    </w:p>
    <w:p>
      <w:pPr>
        <w:pStyle w:val="Heading1"/>
        <w:spacing w:after="160" w:before="360"/>
      </w:pPr>
      <w:r>
        <w:t xml:space="preserve">7. SECURITY, AUDITS &amp; DECENTRALIZATION</w:t>
      </w:r>
    </w:p>
    <w:p>
      <w:pPr>
        <w:pStyle w:val="ListParagraph"/>
        <w:numPr>
          <w:ilvl w:val="0"/>
          <w:numId w:val="2"/>
        </w:numPr>
        <w:spacing w:after="100"/>
      </w:pPr>
      <w:r>
        <w:rPr>
          <w:rFonts w:ascii="Calibri" w:cs="Calibri" w:eastAsia="Calibri" w:hAnsi="Calibri"/>
          <w:b/>
          <w:bCs/>
          <w:sz w:val="22"/>
          <w:szCs w:val="22"/>
        </w:rPr>
        <w:t xml:space="preserve">Audited ERC-4337 Implementations: </w:t>
      </w:r>
      <w:r>
        <w:rPr>
          <w:rFonts w:ascii="Calibri" w:cs="Calibri" w:eastAsia="Calibri" w:hAnsi="Calibri"/>
          <w:sz w:val="22"/>
          <w:szCs w:val="22"/>
        </w:rPr>
        <w:t xml:space="preserve">Paymaster and Smart Account contracts strictly follow audited OpenZeppelin and ERC-4337 reference standards.</w:t>
      </w:r>
    </w:p>
    <w:p>
      <w:pPr>
        <w:pStyle w:val="ListParagraph"/>
        <w:numPr>
          <w:ilvl w:val="0"/>
          <w:numId w:val="2"/>
        </w:numPr>
        <w:spacing w:after="100"/>
      </w:pPr>
      <w:r>
        <w:rPr>
          <w:rFonts w:ascii="Calibri" w:cs="Calibri" w:eastAsia="Calibri" w:hAnsi="Calibri"/>
          <w:b/>
          <w:bCs/>
          <w:sz w:val="22"/>
          <w:szCs w:val="22"/>
        </w:rPr>
        <w:t xml:space="preserve">Multi-Signature Treasury: </w:t>
      </w:r>
      <w:r>
        <w:rPr>
          <w:rFonts w:ascii="Calibri" w:cs="Calibri" w:eastAsia="Calibri" w:hAnsi="Calibri"/>
          <w:sz w:val="22"/>
          <w:szCs w:val="22"/>
        </w:rPr>
        <w:t xml:space="preserve">All dev/treasury and Paymaster liquidity funds are governed by a Multi-Sig Wallet requiring 4-of-7 core signer confirmations.</w:t>
      </w:r>
    </w:p>
    <w:p>
      <w:pPr>
        <w:pStyle w:val="ListParagraph"/>
        <w:numPr>
          <w:ilvl w:val="0"/>
          <w:numId w:val="2"/>
        </w:numPr>
        <w:spacing w:after="100"/>
      </w:pPr>
      <w:r>
        <w:rPr>
          <w:rFonts w:ascii="Calibri" w:cs="Calibri" w:eastAsia="Calibri" w:hAnsi="Calibri"/>
          <w:b/>
          <w:bCs/>
          <w:sz w:val="22"/>
          <w:szCs w:val="22"/>
        </w:rPr>
        <w:t xml:space="preserve">Timelock Protocol: </w:t>
      </w:r>
      <w:r>
        <w:rPr>
          <w:rFonts w:ascii="Calibri" w:cs="Calibri" w:eastAsia="Calibri" w:hAnsi="Calibri"/>
          <w:sz w:val="22"/>
          <w:szCs w:val="22"/>
        </w:rPr>
        <w:t xml:space="preserve">Critical parameters (fee adjustments, Paymaster oracle feeds) are subject to a mandatory 48-hour timelock delay to ensure community protection and transparency.</w:t>
      </w:r>
    </w:p>
    <w:p>
      <w:pPr>
        <w:pStyle w:val="Heading1"/>
        <w:spacing w:after="160" w:before="360"/>
      </w:pPr>
      <w:r>
        <w:t xml:space="preserve">8. LEGAL DISCLAIMER</w:t>
      </w:r>
    </w:p>
    <w:p>
      <w:pPr>
        <w:spacing w:after="160"/>
      </w:pPr>
      <w:r>
        <w:rPr>
          <w:rFonts w:ascii="Calibri" w:cs="Calibri" w:eastAsia="Calibri" w:hAnsi="Calibri"/>
          <w:sz w:val="22"/>
          <w:szCs w:val="22"/>
        </w:rPr>
        <w:t xml:space="preserve">This whitepaper is for informational purposes only and does not constitute financial, investment, or legal advice. Cryptocurrency investments and decentralized finance protocols carry inherent risks, including market volatility and technical smart contract risks. Participants should conduct their own thorough research (DYOR) before participating in the BaguaSwap ecosystem.</w:t>
      </w:r>
    </w:p>
    <w:p>
      <w:pPr>
        <w:spacing w:before="200"/>
        <w:jc w:val="center"/>
      </w:pPr>
      <w:r>
        <w:rPr>
          <w:rFonts w:ascii="Calibri" w:cs="Calibri" w:eastAsia="Calibri" w:hAnsi="Calibri"/>
          <w:i/>
          <w:iCs/>
          <w:color w:val="444444"/>
          <w:sz w:val="20"/>
          <w:szCs w:val="20"/>
        </w:rPr>
        <w:t xml:space="preserve">© 2026 Bagua Ecosystem. All Rights Reserved.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1F1F"/>
      <w:sz w:val="30"/>
      <w:szCs w:val="30"/>
    </w:rPr>
  </w:style>
  <w:style w:type="paragraph" w:styleId="Heading2">
    <w:name w:val="Heading 2"/>
    <w:basedOn w:val="Normal"/>
    <w:next w:val="Normal"/>
    <w:qFormat/>
    <w:pPr>
      <w:spacing w:after="120" w:before="260"/>
    </w:pPr>
    <w:rPr>
      <w:rFonts w:ascii="Calibri" w:cs="Calibri" w:eastAsia="Calibri" w:hAnsi="Calibri"/>
      <w:b/>
      <w:bCs/>
      <w:color w:val="3333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2026-08-10T18:59:02.859Z</dcterms:created>
  <dcterms:modified xsi:type="dcterms:W3CDTF">2026-08-10T18:59:02.877Z</dcterms:modified>
</cp:coreProperties>
</file>

<file path=docProps/custom.xml><?xml version="1.0" encoding="utf-8"?>
<Properties xmlns="http://schemas.openxmlformats.org/officeDocument/2006/custom-properties" xmlns:vt="http://schemas.openxmlformats.org/officeDocument/2006/docPropsVTypes"/>
</file>