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tblLayout w:type="fixed"/>
        <w:tblLook w:firstColumn="1" w:firstRow="1" w:lastColumn="0" w:lastRow="0" w:noHBand="0" w:noVBand="1" w:val="04A0"/>
      </w:tblPr>
      <w:tblGrid>
        <w:gridCol w:w="8787"/>
      </w:tblGrid>
      <w:tr>
        <w:trPr>
          <w:trHeight w:val="120" w:hRule="exact"/>
        </w:trPr>
        <w:tc>
          <w:tcPr>
            <w:tcW w:type="dxa" w:w="8787"/>
            <w:shd w:val="clear" w:color="auto" w:fill="D4A537"/>
          </w:tcPr>
          <w:p>
            <w:r/>
          </w:p>
        </w:tc>
      </w:tr>
    </w:tbl>
    <w:p/>
    <w:p>
      <w:pPr>
        <w:jc w:val="center"/>
      </w:pPr>
      <w:r>
        <w:rPr>
          <w:rFonts w:ascii="Times New Roman" w:hAnsi="Times New Roman"/>
          <w:b/>
          <w:color w:val="D4A537"/>
          <w:sz w:val="22"/>
        </w:rPr>
        <w:t>HARARI PEOPLE REGIONAL STATE  ·  ETHIOPIA</w:t>
      </w:r>
    </w:p>
    <w:p>
      <w:pPr>
        <w:jc w:val="center"/>
      </w:pPr>
      <w:r>
        <w:rPr>
          <w:rFonts w:ascii="Times New Roman" w:hAnsi="Times New Roman"/>
          <w:i/>
          <w:color w:val="6B5B73"/>
          <w:sz w:val="22"/>
        </w:rPr>
        <w:t>Trade, Industry &amp; Tourism Development Bureau</w:t>
      </w:r>
    </w:p>
    <w:p/>
    <w:p/>
    <w:p/>
    <w:p>
      <w:pPr>
        <w:spacing w:after="120"/>
        <w:jc w:val="center"/>
      </w:pPr>
      <w:r>
        <w:rPr>
          <w:rFonts w:ascii="Times New Roman" w:hAnsi="Times New Roman"/>
          <w:b/>
          <w:color w:val="5B2A86"/>
          <w:sz w:val="72"/>
        </w:rPr>
        <w:t>Harari PCC Portal</w:t>
      </w:r>
    </w:p>
    <w:p>
      <w:pPr>
        <w:spacing w:after="400"/>
        <w:jc w:val="center"/>
      </w:pPr>
      <w:r>
        <w:rPr>
          <w:rFonts w:ascii="Times New Roman" w:hAnsi="Times New Roman"/>
          <w:i/>
          <w:color w:val="B5471A"/>
          <w:sz w:val="36"/>
        </w:rPr>
        <w:t>Professional Competence Certificate Platform</w:t>
      </w:r>
    </w:p>
    <w:p>
      <w:pPr>
        <w:spacing w:after="400"/>
        <w:jc w:val="center"/>
        <w:pBdr>
          <w:bottom w:val="single" w:sz="12" w:space="1" w:color="D4A537"/>
        </w:pBdr>
      </w:pPr>
    </w:p>
    <w:p>
      <w:pPr>
        <w:spacing w:after="0"/>
        <w:jc w:val="center"/>
      </w:pPr>
      <w:r>
        <w:rPr>
          <w:rFonts w:ascii="Times New Roman" w:hAnsi="Times New Roman"/>
          <w:color w:val="1E3A5F"/>
          <w:sz w:val="26"/>
        </w:rPr>
        <w:t>A Proposal for Official Adoption and Regional Deployment</w:t>
      </w:r>
    </w:p>
    <w:p>
      <w:pPr>
        <w:jc w:val="center"/>
      </w:pPr>
      <w:r>
        <w:rPr>
          <w:rFonts w:ascii="Times New Roman" w:hAnsi="Times New Roman"/>
          <w:color w:val="1E3A5F"/>
          <w:sz w:val="26"/>
        </w:rPr>
        <w:t>of a Digital Business Licensing Portal for the Harari Region</w:t>
      </w:r>
    </w:p>
    <w:p/>
    <w:p/>
    <w:p/>
    <w:p/>
    <w:p/>
    <w:p/>
    <w:tbl>
      <w:tblPr>
        <w:tblW w:type="auto" w:w="0"/>
        <w:jc w:val="center"/>
        <w:tblLayout w:type="fixed"/>
        <w:tblLook w:firstColumn="1" w:firstRow="1" w:lastColumn="0" w:lastRow="0" w:noHBand="0" w:noVBand="1" w:val="04A0"/>
      </w:tblPr>
      <w:tblGrid>
        <w:gridCol w:w="2551"/>
        <w:gridCol w:w="5102"/>
      </w:tblGrid>
      <w:tr>
        <w:tc>
          <w:tcPr>
            <w:tcW w:type="dxa" w:w="2551"/>
            <w:tcBorders>
              <w:top w:val="nil"/>
              <w:left w:val="nil"/>
              <w:bottom w:val="nil"/>
              <w:right w:val="nil"/>
            </w:tcBorders>
          </w:tcPr>
          <w:p>
            <w:pPr>
              <w:jc w:val="right"/>
            </w:pPr>
            <w:r>
              <w:rPr>
                <w:rFonts w:ascii="Times New Roman" w:hAnsi="Times New Roman"/>
                <w:b/>
                <w:color w:val="6B5B73"/>
                <w:sz w:val="22"/>
              </w:rPr>
              <w:t>Submitted to:</w:t>
            </w:r>
          </w:p>
        </w:tc>
        <w:tc>
          <w:tcPr>
            <w:tcW w:type="dxa" w:w="5102"/>
            <w:tcBorders>
              <w:top w:val="nil"/>
              <w:left w:val="nil"/>
              <w:bottom w:val="nil"/>
              <w:right w:val="nil"/>
            </w:tcBorders>
          </w:tcPr>
          <w:p>
            <w:r>
              <w:rPr>
                <w:rFonts w:ascii="Times New Roman" w:hAnsi="Times New Roman"/>
                <w:color w:val="1E3A5F"/>
                <w:sz w:val="22"/>
              </w:rPr>
              <w:t>Harari Regional State Council</w:t>
            </w:r>
          </w:p>
        </w:tc>
      </w:tr>
      <w:tr>
        <w:tc>
          <w:tcPr>
            <w:tcW w:type="dxa" w:w="2551"/>
            <w:tcBorders>
              <w:top w:val="nil"/>
              <w:left w:val="nil"/>
              <w:bottom w:val="nil"/>
              <w:right w:val="nil"/>
            </w:tcBorders>
          </w:tcPr>
          <w:p>
            <w:pPr>
              <w:jc w:val="right"/>
            </w:pPr>
            <w:r>
              <w:rPr>
                <w:rFonts w:ascii="Times New Roman" w:hAnsi="Times New Roman"/>
                <w:b/>
                <w:color w:val="6B5B73"/>
                <w:sz w:val="22"/>
              </w:rPr>
              <w:t>Submitted by:</w:t>
            </w:r>
          </w:p>
        </w:tc>
        <w:tc>
          <w:tcPr>
            <w:tcW w:type="dxa" w:w="5102"/>
            <w:tcBorders>
              <w:top w:val="nil"/>
              <w:left w:val="nil"/>
              <w:bottom w:val="nil"/>
              <w:right w:val="nil"/>
            </w:tcBorders>
          </w:tcPr>
          <w:p>
            <w:r>
              <w:rPr>
                <w:rFonts w:ascii="Times New Roman" w:hAnsi="Times New Roman"/>
                <w:color w:val="1E3A5F"/>
                <w:sz w:val="22"/>
              </w:rPr>
              <w:t>Trade, Industry &amp; Tourism Development Bureau</w:t>
            </w:r>
          </w:p>
        </w:tc>
      </w:tr>
      <w:tr>
        <w:tc>
          <w:tcPr>
            <w:tcW w:type="dxa" w:w="2551"/>
            <w:tcBorders>
              <w:top w:val="nil"/>
              <w:left w:val="nil"/>
              <w:bottom w:val="nil"/>
              <w:right w:val="nil"/>
            </w:tcBorders>
          </w:tcPr>
          <w:p>
            <w:pPr>
              <w:jc w:val="right"/>
            </w:pPr>
            <w:r>
              <w:rPr>
                <w:rFonts w:ascii="Times New Roman" w:hAnsi="Times New Roman"/>
                <w:b/>
                <w:color w:val="6B5B73"/>
                <w:sz w:val="22"/>
              </w:rPr>
              <w:t>Date:</w:t>
            </w:r>
          </w:p>
        </w:tc>
        <w:tc>
          <w:tcPr>
            <w:tcW w:type="dxa" w:w="5102"/>
            <w:tcBorders>
              <w:top w:val="nil"/>
              <w:left w:val="nil"/>
              <w:bottom w:val="nil"/>
              <w:right w:val="nil"/>
            </w:tcBorders>
          </w:tcPr>
          <w:p>
            <w:r>
              <w:rPr>
                <w:rFonts w:ascii="Times New Roman" w:hAnsi="Times New Roman"/>
                <w:color w:val="1E3A5F"/>
                <w:sz w:val="22"/>
              </w:rPr>
              <w:t>June 2026</w:t>
            </w:r>
          </w:p>
        </w:tc>
      </w:tr>
      <w:tr>
        <w:tc>
          <w:tcPr>
            <w:tcW w:type="dxa" w:w="2551"/>
            <w:tcBorders>
              <w:top w:val="nil"/>
              <w:left w:val="nil"/>
              <w:bottom w:val="nil"/>
              <w:right w:val="nil"/>
            </w:tcBorders>
          </w:tcPr>
          <w:p>
            <w:pPr>
              <w:jc w:val="right"/>
            </w:pPr>
            <w:r>
              <w:rPr>
                <w:rFonts w:ascii="Times New Roman" w:hAnsi="Times New Roman"/>
                <w:b/>
                <w:color w:val="6B5B73"/>
                <w:sz w:val="22"/>
              </w:rPr>
              <w:t>Version:</w:t>
            </w:r>
          </w:p>
        </w:tc>
        <w:tc>
          <w:tcPr>
            <w:tcW w:type="dxa" w:w="5102"/>
            <w:tcBorders>
              <w:top w:val="nil"/>
              <w:left w:val="nil"/>
              <w:bottom w:val="nil"/>
              <w:right w:val="nil"/>
            </w:tcBorders>
          </w:tcPr>
          <w:p>
            <w:r>
              <w:rPr>
                <w:rFonts w:ascii="Times New Roman" w:hAnsi="Times New Roman"/>
                <w:color w:val="1E3A5F"/>
                <w:sz w:val="22"/>
              </w:rPr>
              <w:t>1.0  ·  For Official Review</w:t>
            </w:r>
          </w:p>
        </w:tc>
      </w:tr>
    </w:tbl>
    <w:p/>
    <w:tbl>
      <w:tblPr>
        <w:tblW w:type="auto" w:w="0"/>
        <w:tblLayout w:type="fixed"/>
        <w:tblLook w:firstColumn="1" w:firstRow="1" w:lastColumn="0" w:lastRow="0" w:noHBand="0" w:noVBand="1" w:val="04A0"/>
      </w:tblPr>
      <w:tblGrid>
        <w:gridCol w:w="8787"/>
      </w:tblGrid>
      <w:tr>
        <w:trPr>
          <w:trHeight w:val="120" w:hRule="exact"/>
        </w:trPr>
        <w:tc>
          <w:tcPr>
            <w:tcW w:type="dxa" w:w="8787"/>
            <w:shd w:val="clear" w:color="auto" w:fill="5B2A86"/>
          </w:tcPr>
          <w:p>
            <w:r/>
          </w:p>
        </w:tc>
      </w:tr>
    </w:tbl>
    <w:p>
      <w:r>
        <w:br w:type="page"/>
      </w:r>
    </w:p>
    <w:p>
      <w:pPr>
        <w:keepNext/>
        <w:spacing w:before="360" w:after="160"/>
        <w:pBdr>
          <w:bottom w:val="single" w:sz="6" w:space="1" w:color="D4A537"/>
        </w:pBdr>
      </w:pPr>
      <w:r>
        <w:rPr>
          <w:rFonts w:ascii="Times New Roman" w:hAnsi="Times New Roman"/>
          <w:b/>
          <w:color w:val="5B2A86"/>
          <w:sz w:val="32"/>
        </w:rPr>
        <w:t>1. Executive Summary</w:t>
      </w:r>
    </w:p>
    <w:p>
      <w:pPr>
        <w:ind w:firstLine="482"/>
        <w:jc w:val="both"/>
      </w:pPr>
      <w:r>
        <w:rPr>
          <w:rFonts w:ascii="Times New Roman" w:hAnsi="Times New Roman"/>
          <w:color w:val="1E3A5F"/>
          <w:sz w:val="24"/>
        </w:rPr>
        <w:t>The Harari People Regional State, despite its cultural and commercial significance as the home of Harar Jugol — a UNESCO World Heritage Site — continues to rely on a paper-based, in-person business licensing process that is slow, opaque, and difficult to audit. Citizens travel to the Bureau office in Harar, queue for hours, submit paper documents by hand, and wait an average of five to fourteen business days for a decision. There is no public registry to verify issued certificates, leaving room for forgery and undermining trust in the regional licensing system.</w:t>
      </w:r>
    </w:p>
    <w:p>
      <w:pPr>
        <w:ind w:firstLine="482"/>
        <w:jc w:val="both"/>
      </w:pPr>
      <w:r>
        <w:rPr>
          <w:rFonts w:ascii="Times New Roman" w:hAnsi="Times New Roman"/>
          <w:color w:val="1E3A5F"/>
          <w:sz w:val="24"/>
        </w:rPr>
        <w:t>This proposal presents the Harari PCC Portal — a complete, working digital platform that moves the entire Professional Competence Certificate (PCC) workflow online. Citizens register, submit documents, complete a competence assessment, and receive a verifiable certificate without visiting a physical office. Regional officers review applications through a dedicated console with full audit logging. The platform is built on modern, secure, scalable technology and is already functional as a working prototype.</w:t>
      </w:r>
    </w:p>
    <w:p>
      <w:pPr>
        <w:ind w:firstLine="482"/>
        <w:jc w:val="both"/>
      </w:pPr>
      <w:r>
        <w:rPr>
          <w:rFonts w:ascii="Times New Roman" w:hAnsi="Times New Roman"/>
          <w:color w:val="1E3A5F"/>
          <w:sz w:val="24"/>
        </w:rPr>
        <w:t>We request the Regional Council's formal adoption of this platform as the official digital channel for PCC issuance, along with a budget allocation of ETB 2,460,000 for production deployment, capacity building, and the first twelve months of operation. The expected outcomes are: a reduction in average processing time from 5–14 days to under 24 hours; full visibility of application status for every citizen; and a public certificate verification endpoint that eliminates forgery risk. The platform aligns with federal digital transformation priorities and with the Harari Region's broader goal of becoming a model small-region administration in Ethiopia.</w:t>
      </w:r>
    </w:p>
    <w:p>
      <w:pPr>
        <w:spacing w:before="160" w:after="160"/>
        <w:shd w:val="clear" w:color="auto" w:fill="FBF3E2"/>
        <w:pBdr>
          <w:left w:val="single" w:sz="18" w:space="1" w:color="D4A537"/>
          <w:top w:val="single" w:sz="6" w:space="1" w:color="D4A537"/>
          <w:bottom w:val="single" w:sz="6" w:space="1" w:color="D4A537"/>
          <w:right w:val="single" w:sz="6" w:space="1" w:color="D4A537"/>
        </w:pBdr>
        <w:ind w:left="170" w:right="170"/>
      </w:pPr>
      <w:r>
        <w:rPr>
          <w:b/>
          <w:color w:val="5B2A86"/>
          <w:sz w:val="22"/>
        </w:rPr>
        <w:t xml:space="preserve">Key Ask:  </w:t>
      </w:r>
      <w:r>
        <w:rPr>
          <w:color w:val="1E3A5F"/>
          <w:sz w:val="22"/>
        </w:rPr>
        <w:t>Formal adoption of the Harari PCC Portal as the official digital PCC channel, plus a twelve-month implementation and operating budget of ETB 2,460,000.</w:t>
      </w:r>
    </w:p>
    <w:p>
      <w:pPr>
        <w:keepNext/>
        <w:spacing w:before="360" w:after="160"/>
        <w:pBdr>
          <w:bottom w:val="single" w:sz="6" w:space="1" w:color="D4A537"/>
        </w:pBdr>
      </w:pPr>
      <w:r>
        <w:rPr>
          <w:rFonts w:ascii="Times New Roman" w:hAnsi="Times New Roman"/>
          <w:b/>
          <w:color w:val="5B2A86"/>
          <w:sz w:val="32"/>
        </w:rPr>
        <w:t>2. Background and Problem Analysis</w:t>
      </w:r>
    </w:p>
    <w:p>
      <w:pPr>
        <w:keepNext/>
        <w:spacing w:before="240" w:after="80"/>
      </w:pPr>
      <w:r>
        <w:rPr>
          <w:rFonts w:ascii="Times New Roman" w:hAnsi="Times New Roman"/>
          <w:b/>
          <w:color w:val="1E3A5F"/>
          <w:sz w:val="28"/>
        </w:rPr>
        <w:t>2.1  Current State of Business Licensing in the Harari Region</w:t>
      </w:r>
    </w:p>
    <w:p>
      <w:pPr>
        <w:ind w:firstLine="482"/>
        <w:jc w:val="both"/>
      </w:pPr>
      <w:r>
        <w:rPr>
          <w:rFonts w:ascii="Times New Roman" w:hAnsi="Times New Roman"/>
          <w:color w:val="1E3A5F"/>
          <w:sz w:val="24"/>
        </w:rPr>
        <w:t>Under the existing arrangement, any citizen of the Harari Region who wishes to open a business must obtain a Professional Competence Certificate (PCC) from the Trade, Industry &amp; Tourism Development Bureau before applying for a trade licence. The PCC process is designed to verify that the applicant understands basic Ethiopian business law, taxation, labour regulations, and regional requirements, and that they hold the educational or professional qualifications appropriate to their intended business sector.</w:t>
      </w:r>
    </w:p>
    <w:p>
      <w:pPr>
        <w:ind w:firstLine="482"/>
        <w:jc w:val="both"/>
      </w:pPr>
      <w:r>
        <w:rPr>
          <w:rFonts w:ascii="Times New Roman" w:hAnsi="Times New Roman"/>
          <w:color w:val="1E3A5F"/>
          <w:sz w:val="24"/>
        </w:rPr>
        <w:t>In practice, every step of this process is paper-based. The applicant obtains a paper form from the Bureau office in Harar, completes it by hand, attaches photocopies of supporting documents (national ID, educational certificates, business plan, lease agreement), and submits the folder in person. The folder is then routed manually between the front desk, a reviewing officer, and the head of the licensing division. The applicant has no way to know where their file is in the queue. When the decision is ready, the applicant must return to the Bureau to collect the certificate in person.</w:t>
      </w:r>
    </w:p>
    <w:p>
      <w:pPr>
        <w:keepNext/>
        <w:spacing w:before="240" w:after="80"/>
      </w:pPr>
      <w:r>
        <w:rPr>
          <w:rFonts w:ascii="Times New Roman" w:hAnsi="Times New Roman"/>
          <w:b/>
          <w:color w:val="1E3A5F"/>
          <w:sz w:val="28"/>
        </w:rPr>
        <w:t>2.2  Specific Pain Points</w:t>
      </w:r>
    </w:p>
    <w:p>
      <w:pPr>
        <w:pStyle w:val="ListBullet"/>
        <w:spacing w:after="40"/>
        <w:ind w:left="425"/>
      </w:pPr>
      <w:r/>
      <w:r>
        <w:rPr>
          <w:rFonts w:ascii="Times New Roman" w:hAnsi="Times New Roman"/>
          <w:color w:val="1E3A5F"/>
          <w:sz w:val="24"/>
        </w:rPr>
        <w:t>Processing time of 5–14 business days per application, with peaks of three weeks during high-demand periods such as the run-up to trade-fair season.</w:t>
      </w:r>
    </w:p>
    <w:p>
      <w:pPr>
        <w:pStyle w:val="ListBullet"/>
        <w:spacing w:after="40"/>
        <w:ind w:left="425"/>
      </w:pPr>
      <w:r/>
      <w:r>
        <w:rPr>
          <w:rFonts w:ascii="Times New Roman" w:hAnsi="Times New Roman"/>
          <w:color w:val="1E3A5F"/>
          <w:sz w:val="24"/>
        </w:rPr>
        <w:t>No status visibility — applicants cannot track their application and must call or visit the Bureau to enquire, consuming staff time on both sides.</w:t>
      </w:r>
    </w:p>
    <w:p>
      <w:pPr>
        <w:pStyle w:val="ListBullet"/>
        <w:spacing w:after="40"/>
        <w:ind w:left="425"/>
      </w:pPr>
      <w:r/>
      <w:r>
        <w:rPr>
          <w:rFonts w:ascii="Times New Roman" w:hAnsi="Times New Roman"/>
          <w:color w:val="1E3A5F"/>
          <w:sz w:val="24"/>
        </w:rPr>
        <w:t>No public verification — third parties (banks, landlords, partner businesses) cannot validate an applicant's certificate without phoning the Bureau, creating forgery risk and friction in commercial transactions.</w:t>
      </w:r>
    </w:p>
    <w:p>
      <w:pPr>
        <w:pStyle w:val="ListBullet"/>
        <w:spacing w:after="40"/>
        <w:ind w:left="425"/>
      </w:pPr>
      <w:r/>
      <w:r>
        <w:rPr>
          <w:rFonts w:ascii="Times New Roman" w:hAnsi="Times New Roman"/>
          <w:color w:val="1E3A5F"/>
          <w:sz w:val="24"/>
        </w:rPr>
        <w:t>Lost or misrouted files — paper folders are occasionally misplaced during internal routing, forcing applicants to resubmit documents and inflating the actual processing time further.</w:t>
      </w:r>
    </w:p>
    <w:p>
      <w:pPr>
        <w:pStyle w:val="ListBullet"/>
        <w:spacing w:after="40"/>
        <w:ind w:left="425"/>
      </w:pPr>
      <w:r/>
      <w:r>
        <w:rPr>
          <w:rFonts w:ascii="Times New Roman" w:hAnsi="Times New Roman"/>
          <w:color w:val="1E3A5F"/>
          <w:sz w:val="24"/>
        </w:rPr>
        <w:t>Limited service reach — citizens living in woredas outside Harar must travel to the regional capital for every step of the process, imposing a hidden cost on rural entrepreneurs.</w:t>
      </w:r>
    </w:p>
    <w:p>
      <w:pPr>
        <w:pStyle w:val="ListBullet"/>
        <w:spacing w:after="40"/>
        <w:ind w:left="425"/>
      </w:pPr>
      <w:r/>
      <w:r>
        <w:rPr>
          <w:rFonts w:ascii="Times New Roman" w:hAnsi="Times New Roman"/>
          <w:color w:val="1E3A5F"/>
          <w:sz w:val="24"/>
        </w:rPr>
        <w:t>No management analytics — the Bureau leadership has no real-time view of pending applications, sectoral distribution, or reviewer workload, making resource planning reactive.</w:t>
      </w:r>
    </w:p>
    <w:p>
      <w:pPr>
        <w:keepNext/>
        <w:spacing w:before="240" w:after="80"/>
      </w:pPr>
      <w:r>
        <w:rPr>
          <w:rFonts w:ascii="Times New Roman" w:hAnsi="Times New Roman"/>
          <w:b/>
          <w:color w:val="1E3A5F"/>
          <w:sz w:val="28"/>
        </w:rPr>
        <w:t>2.3  Policy and Strategic Context</w:t>
      </w:r>
    </w:p>
    <w:p>
      <w:pPr>
        <w:ind w:firstLine="482"/>
        <w:jc w:val="both"/>
      </w:pPr>
      <w:r>
        <w:rPr>
          <w:rFonts w:ascii="Times New Roman" w:hAnsi="Times New Roman"/>
          <w:color w:val="1E3A5F"/>
          <w:sz w:val="24"/>
        </w:rPr>
        <w:t>The federal government of Ethiopia has, since 2022, made digital transformation a national priority under the "Digital Ethiopia 2025" strategy. Several regional states — including Oromia, Amhara, and the Sidama Region — have begun deploying online portals for selected trade and land services. The Harari Region, despite being the smallest regional state by area, has lagged behind in this regard, in part because no tailored solution existed that matched the Region's specific Bureau workflow and cultural context.</w:t>
      </w:r>
    </w:p>
    <w:p>
      <w:pPr>
        <w:ind w:firstLine="482"/>
        <w:jc w:val="both"/>
      </w:pPr>
      <w:r>
        <w:rPr>
          <w:rFonts w:ascii="Times New Roman" w:hAnsi="Times New Roman"/>
          <w:color w:val="1E3A5F"/>
          <w:sz w:val="24"/>
        </w:rPr>
        <w:t>Adopting the Harari PCC Portal directly addresses this gap. It is built specifically for the Harari Region — not a generic off-the-shelf product — and aligns with the regional Bureau's actual decision-making workflow, document requirements, and cultural identity.</w:t>
      </w:r>
    </w:p>
    <w:p>
      <w:pPr>
        <w:keepNext/>
        <w:spacing w:before="360" w:after="160"/>
        <w:pBdr>
          <w:bottom w:val="single" w:sz="6" w:space="1" w:color="D4A537"/>
        </w:pBdr>
      </w:pPr>
      <w:r>
        <w:rPr>
          <w:rFonts w:ascii="Times New Roman" w:hAnsi="Times New Roman"/>
          <w:b/>
          <w:color w:val="5B2A86"/>
          <w:sz w:val="32"/>
        </w:rPr>
        <w:t>3. Project Objectives and Expected Outcomes</w:t>
      </w:r>
    </w:p>
    <w:p>
      <w:pPr>
        <w:keepNext/>
        <w:spacing w:before="240" w:after="80"/>
      </w:pPr>
      <w:r>
        <w:rPr>
          <w:rFonts w:ascii="Times New Roman" w:hAnsi="Times New Roman"/>
          <w:b/>
          <w:color w:val="1E3A5F"/>
          <w:sz w:val="28"/>
        </w:rPr>
        <w:t>3.1  Primary Objectives</w:t>
      </w:r>
    </w:p>
    <w:p>
      <w:pPr>
        <w:ind w:firstLine="482"/>
        <w:jc w:val="both"/>
      </w:pPr>
      <w:r>
        <w:rPr>
          <w:rFonts w:ascii="Times New Roman" w:hAnsi="Times New Roman"/>
          <w:color w:val="1E3A5F"/>
          <w:sz w:val="24"/>
        </w:rPr>
        <w:t>The project has four primary objectives, each tied to a measurable outcome:</w:t>
      </w:r>
    </w:p>
    <w:p>
      <w:pPr>
        <w:pStyle w:val="ListBullet"/>
        <w:spacing w:after="40"/>
        <w:ind w:left="425"/>
      </w:pPr>
      <w:r/>
      <w:r>
        <w:rPr>
          <w:rFonts w:ascii="Times New Roman" w:hAnsi="Times New Roman"/>
          <w:color w:val="1E3A5F"/>
          <w:sz w:val="24"/>
        </w:rPr>
        <w:t>Digitise the end-to-end PCC workflow — from registration to certificate issuance — so that no physical office visit is required for any step of an application.</w:t>
      </w:r>
    </w:p>
    <w:p>
      <w:pPr>
        <w:pStyle w:val="ListBullet"/>
        <w:spacing w:after="40"/>
        <w:ind w:left="425"/>
      </w:pPr>
      <w:r/>
      <w:r>
        <w:rPr>
          <w:rFonts w:ascii="Times New Roman" w:hAnsi="Times New Roman"/>
          <w:color w:val="1E3A5F"/>
          <w:sz w:val="24"/>
        </w:rPr>
        <w:t>Enforce competence verification through a structured 17-question assessment covering Ethiopian business law, taxation, labour law, consumer protection, and Harari regional regulations.</w:t>
      </w:r>
    </w:p>
    <w:p>
      <w:pPr>
        <w:pStyle w:val="ListBullet"/>
        <w:spacing w:after="40"/>
        <w:ind w:left="425"/>
      </w:pPr>
      <w:r/>
      <w:r>
        <w:rPr>
          <w:rFonts w:ascii="Times New Roman" w:hAnsi="Times New Roman"/>
          <w:color w:val="1E3A5F"/>
          <w:sz w:val="24"/>
        </w:rPr>
        <w:t>Provide a public, no-authentication certificate verification endpoint so that any third party can validate an issued certificate by its unique number.</w:t>
      </w:r>
    </w:p>
    <w:p>
      <w:pPr>
        <w:pStyle w:val="ListBullet"/>
        <w:spacing w:after="40"/>
        <w:ind w:left="425"/>
      </w:pPr>
      <w:r/>
      <w:r>
        <w:rPr>
          <w:rFonts w:ascii="Times New Roman" w:hAnsi="Times New Roman"/>
          <w:color w:val="1E3A5F"/>
          <w:sz w:val="24"/>
        </w:rPr>
        <w:t>Give Bureau leadership a real-time dashboard of application volume, status distribution, sectoral breakdown, and reviewer activity for operational decision-making.</w:t>
      </w:r>
    </w:p>
    <w:p>
      <w:pPr>
        <w:keepNext/>
        <w:spacing w:before="240" w:after="80"/>
      </w:pPr>
      <w:r>
        <w:rPr>
          <w:rFonts w:ascii="Times New Roman" w:hAnsi="Times New Roman"/>
          <w:b/>
          <w:color w:val="1E3A5F"/>
          <w:sz w:val="28"/>
        </w:rPr>
        <w:t>3.2  Expected Outcomes and Indicators</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041"/>
            <w:shd w:val="clear" w:color="auto" w:fill="5B2A86"/>
            <w:tcBorders>
              <w:top w:val="single" w:sz="4" w:space="0" w:color="D4A537"/>
              <w:left w:val="single" w:sz="4" w:space="0" w:color="D4A537"/>
              <w:bottom w:val="single" w:sz="4" w:space="0" w:color="D4A537"/>
              <w:right w:val="single" w:sz="4" w:space="0" w:color="D4A537"/>
            </w:tcBorders>
            <w:vAlign w:val="center"/>
          </w:tcPr>
          <w:p>
            <w:pPr>
              <w:spacing w:before="40" w:after="40"/>
              <w:jc w:val="left"/>
            </w:pPr>
            <w:r>
              <w:rPr>
                <w:rFonts w:ascii="Times New Roman" w:hAnsi="Times New Roman"/>
                <w:b/>
                <w:color w:val="FFFFFF"/>
                <w:sz w:val="22"/>
              </w:rPr>
              <w:t>Outcome</w:t>
            </w:r>
          </w:p>
        </w:tc>
        <w:tc>
          <w:tcPr>
            <w:tcW w:type="dxa" w:w="3175"/>
            <w:shd w:val="clear" w:color="auto" w:fill="5B2A86"/>
            <w:tcBorders>
              <w:top w:val="single" w:sz="4" w:space="0" w:color="D4A537"/>
              <w:left w:val="single" w:sz="4" w:space="0" w:color="D4A537"/>
              <w:bottom w:val="single" w:sz="4" w:space="0" w:color="D4A537"/>
              <w:right w:val="single" w:sz="4" w:space="0" w:color="D4A537"/>
            </w:tcBorders>
            <w:vAlign w:val="center"/>
          </w:tcPr>
          <w:p>
            <w:pPr>
              <w:spacing w:before="40" w:after="40"/>
              <w:jc w:val="left"/>
            </w:pPr>
            <w:r>
              <w:rPr>
                <w:rFonts w:ascii="Times New Roman" w:hAnsi="Times New Roman"/>
                <w:b/>
                <w:color w:val="FFFFFF"/>
                <w:sz w:val="22"/>
              </w:rPr>
              <w:t>Indicator</w:t>
            </w:r>
          </w:p>
        </w:tc>
        <w:tc>
          <w:tcPr>
            <w:tcW w:type="dxa" w:w="1531"/>
            <w:shd w:val="clear" w:color="auto" w:fill="5B2A86"/>
            <w:tcBorders>
              <w:top w:val="single" w:sz="4" w:space="0" w:color="D4A537"/>
              <w:left w:val="single" w:sz="4" w:space="0" w:color="D4A537"/>
              <w:bottom w:val="single" w:sz="4" w:space="0" w:color="D4A537"/>
              <w:right w:val="single" w:sz="4" w:space="0" w:color="D4A537"/>
            </w:tcBorders>
            <w:vAlign w:val="center"/>
          </w:tcPr>
          <w:p>
            <w:pPr>
              <w:spacing w:before="40" w:after="40"/>
              <w:jc w:val="left"/>
            </w:pPr>
            <w:r>
              <w:rPr>
                <w:rFonts w:ascii="Times New Roman" w:hAnsi="Times New Roman"/>
                <w:b/>
                <w:color w:val="FFFFFF"/>
                <w:sz w:val="22"/>
              </w:rPr>
              <w:t>Baseline</w:t>
            </w:r>
          </w:p>
        </w:tc>
        <w:tc>
          <w:tcPr>
            <w:tcW w:type="dxa" w:w="1928"/>
            <w:shd w:val="clear" w:color="auto" w:fill="5B2A86"/>
            <w:tcBorders>
              <w:top w:val="single" w:sz="4" w:space="0" w:color="D4A537"/>
              <w:left w:val="single" w:sz="4" w:space="0" w:color="D4A537"/>
              <w:bottom w:val="single" w:sz="4" w:space="0" w:color="D4A537"/>
              <w:right w:val="single" w:sz="4" w:space="0" w:color="D4A537"/>
            </w:tcBorders>
            <w:vAlign w:val="center"/>
          </w:tcPr>
          <w:p>
            <w:pPr>
              <w:spacing w:before="40" w:after="40"/>
              <w:jc w:val="left"/>
            </w:pPr>
            <w:r>
              <w:rPr>
                <w:rFonts w:ascii="Times New Roman" w:hAnsi="Times New Roman"/>
                <w:b/>
                <w:color w:val="FFFFFF"/>
                <w:sz w:val="22"/>
              </w:rPr>
              <w:t>Target (12 mo)</w:t>
            </w:r>
          </w:p>
        </w:tc>
      </w:tr>
      <w:tr>
        <w:tc>
          <w:tcPr>
            <w:tcW w:type="dxa" w:w="204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Faster processing</w:t>
            </w:r>
          </w:p>
        </w:tc>
        <w:tc>
          <w:tcPr>
            <w:tcW w:type="dxa" w:w="3175"/>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Average time from submission to decision</w:t>
            </w:r>
          </w:p>
        </w:tc>
        <w:tc>
          <w:tcPr>
            <w:tcW w:type="dxa" w:w="153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5–14 days</w:t>
            </w:r>
          </w:p>
        </w:tc>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Under 24 hours</w:t>
            </w:r>
          </w:p>
        </w:tc>
      </w:tr>
      <w:tr>
        <w:tc>
          <w:tcPr>
            <w:tcW w:type="dxa" w:w="204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Citizen transparency</w:t>
            </w:r>
          </w:p>
        </w:tc>
        <w:tc>
          <w:tcPr>
            <w:tcW w:type="dxa" w:w="3175"/>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Share of applicants who can check status online</w:t>
            </w:r>
          </w:p>
        </w:tc>
        <w:tc>
          <w:tcPr>
            <w:tcW w:type="dxa" w:w="153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0%</w:t>
            </w:r>
          </w:p>
        </w:tc>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100%</w:t>
            </w:r>
          </w:p>
        </w:tc>
      </w:tr>
      <w:tr>
        <w:tc>
          <w:tcPr>
            <w:tcW w:type="dxa" w:w="204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Fraud reduction</w:t>
            </w:r>
          </w:p>
        </w:tc>
        <w:tc>
          <w:tcPr>
            <w:tcW w:type="dxa" w:w="3175"/>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Public verification endpoint availability</w:t>
            </w:r>
          </w:p>
        </w:tc>
        <w:tc>
          <w:tcPr>
            <w:tcW w:type="dxa" w:w="153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None</w:t>
            </w:r>
          </w:p>
        </w:tc>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Live, no-auth endpoint</w:t>
            </w:r>
          </w:p>
        </w:tc>
      </w:tr>
      <w:tr>
        <w:tc>
          <w:tcPr>
            <w:tcW w:type="dxa" w:w="204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Geographic reach</w:t>
            </w:r>
          </w:p>
        </w:tc>
        <w:tc>
          <w:tcPr>
            <w:tcW w:type="dxa" w:w="3175"/>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Applications submitted from outside Harar city</w:t>
            </w:r>
          </w:p>
        </w:tc>
        <w:tc>
          <w:tcPr>
            <w:tcW w:type="dxa" w:w="153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Unknown</w:t>
            </w:r>
          </w:p>
        </w:tc>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Tracked and reported quarterly</w:t>
            </w:r>
          </w:p>
        </w:tc>
      </w:tr>
      <w:tr>
        <w:tc>
          <w:tcPr>
            <w:tcW w:type="dxa" w:w="204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Operational visibility</w:t>
            </w:r>
          </w:p>
        </w:tc>
        <w:tc>
          <w:tcPr>
            <w:tcW w:type="dxa" w:w="3175"/>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Bureau dashboard with live queue + analytics</w:t>
            </w:r>
          </w:p>
        </w:tc>
        <w:tc>
          <w:tcPr>
            <w:tcW w:type="dxa" w:w="153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None</w:t>
            </w:r>
          </w:p>
        </w:tc>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left"/>
            </w:pPr>
            <w:r>
              <w:rPr>
                <w:rFonts w:ascii="Times New Roman" w:hAnsi="Times New Roman"/>
                <w:color w:val="1E3A5F"/>
                <w:sz w:val="22"/>
              </w:rPr>
              <w:t>Deployed and used daily</w:t>
            </w:r>
          </w:p>
        </w:tc>
      </w:tr>
    </w:tbl>
    <w:p>
      <w:pPr>
        <w:spacing w:before="40" w:after="200"/>
        <w:jc w:val="center"/>
      </w:pPr>
      <w:r>
        <w:rPr>
          <w:rFonts w:ascii="Times New Roman" w:hAnsi="Times New Roman"/>
          <w:i/>
          <w:color w:val="6B5B73"/>
          <w:sz w:val="20"/>
        </w:rPr>
        <w:t>Table 1. Expected outcomes and measurable indicators.</w:t>
      </w:r>
    </w:p>
    <w:p>
      <w:pPr>
        <w:keepNext/>
        <w:spacing w:before="360" w:after="160"/>
        <w:pBdr>
          <w:bottom w:val="single" w:sz="6" w:space="1" w:color="D4A537"/>
        </w:pBdr>
      </w:pPr>
      <w:r>
        <w:rPr>
          <w:rFonts w:ascii="Times New Roman" w:hAnsi="Times New Roman"/>
          <w:b/>
          <w:color w:val="5B2A86"/>
          <w:sz w:val="32"/>
        </w:rPr>
        <w:t>4. Solution Description</w:t>
      </w:r>
    </w:p>
    <w:p>
      <w:pPr>
        <w:keepNext/>
        <w:spacing w:before="240" w:after="80"/>
      </w:pPr>
      <w:r>
        <w:rPr>
          <w:rFonts w:ascii="Times New Roman" w:hAnsi="Times New Roman"/>
          <w:b/>
          <w:color w:val="1E3A5F"/>
          <w:sz w:val="28"/>
        </w:rPr>
        <w:t>4.1  Platform Overview</w:t>
      </w:r>
    </w:p>
    <w:p>
      <w:pPr>
        <w:ind w:firstLine="482"/>
        <w:jc w:val="both"/>
      </w:pPr>
      <w:r>
        <w:rPr>
          <w:rFonts w:ascii="Times New Roman" w:hAnsi="Times New Roman"/>
          <w:color w:val="1E3A5F"/>
          <w:sz w:val="24"/>
        </w:rPr>
        <w:t>The Harari PCC Portal is a web-based platform accessible from any modern browser on desktop or mobile. It serves three user roles with strictly enforced, server-side access control: applicants, reviewers (Bureau officers), and administrators. Each role sees only the functionality and data appropriate to it.</w:t>
      </w:r>
    </w:p>
    <w:p>
      <w:pPr>
        <w:ind w:firstLine="482"/>
        <w:jc w:val="both"/>
      </w:pPr>
      <w:r>
        <w:rPr>
          <w:rFonts w:ascii="Times New Roman" w:hAnsi="Times New Roman"/>
          <w:color w:val="1E3A5F"/>
          <w:sz w:val="24"/>
        </w:rPr>
        <w:t>The platform implements a five-step application wizard that guides the applicant through personal information, business information, document upload, competence assessment, and a final review-and-submit step. A progress indicator at the top of the wizard shows the applicant exactly where they are in the process. Drafts are saved automatically, so an applicant can pause at any step and return later without losing their work.</w:t>
      </w:r>
    </w:p>
    <w:p>
      <w:pPr>
        <w:keepNext/>
        <w:spacing w:before="240" w:after="80"/>
      </w:pPr>
      <w:r>
        <w:rPr>
          <w:rFonts w:ascii="Times New Roman" w:hAnsi="Times New Roman"/>
          <w:b/>
          <w:color w:val="1E3A5F"/>
          <w:sz w:val="28"/>
        </w:rPr>
        <w:t>4.2  Key Functional Capabilities</w:t>
      </w:r>
    </w:p>
    <w:p>
      <w:pPr>
        <w:keepNext/>
        <w:spacing w:before="160" w:after="40"/>
      </w:pPr>
      <w:r>
        <w:rPr>
          <w:rFonts w:ascii="Times New Roman" w:hAnsi="Times New Roman"/>
          <w:b/>
          <w:i/>
          <w:color w:val="B5471A"/>
          <w:sz w:val="24"/>
        </w:rPr>
        <w:t>For Applicants</w:t>
      </w:r>
    </w:p>
    <w:p>
      <w:pPr>
        <w:pStyle w:val="ListBullet"/>
        <w:spacing w:after="40"/>
        <w:ind w:left="425"/>
      </w:pPr>
      <w:r/>
      <w:r>
        <w:rPr>
          <w:rFonts w:ascii="Times New Roman" w:hAnsi="Times New Roman"/>
          <w:color w:val="1E3A5F"/>
          <w:sz w:val="24"/>
        </w:rPr>
        <w:t>Self-service registration with national ID, contact information, and regional address details.</w:t>
      </w:r>
    </w:p>
    <w:p>
      <w:pPr>
        <w:pStyle w:val="ListBullet"/>
        <w:spacing w:after="40"/>
        <w:ind w:left="425"/>
      </w:pPr>
      <w:r/>
      <w:r>
        <w:rPr>
          <w:rFonts w:ascii="Times New Roman" w:hAnsi="Times New Roman"/>
          <w:color w:val="1E3A5F"/>
          <w:sz w:val="24"/>
        </w:rPr>
        <w:t>Five-step guided application wizard with autosave and progress tracking.</w:t>
      </w:r>
    </w:p>
    <w:p>
      <w:pPr>
        <w:pStyle w:val="ListBullet"/>
        <w:spacing w:after="40"/>
        <w:ind w:left="425"/>
      </w:pPr>
      <w:r/>
      <w:r>
        <w:rPr>
          <w:rFonts w:ascii="Times New Roman" w:hAnsi="Times New Roman"/>
          <w:color w:val="1E3A5F"/>
          <w:sz w:val="24"/>
        </w:rPr>
        <w:t>Document upload supporting 19 document types aligned to the Ethiopian education system, including Grade 8, Grade 10 (EGECE), Grade 12 (matric), TVET certificates, diplomas, advanced diplomas, bachelor's, master's, and doctoral degrees, plus professional certifications and supporting business documents.</w:t>
      </w:r>
    </w:p>
    <w:p>
      <w:pPr>
        <w:pStyle w:val="ListBullet"/>
        <w:spacing w:after="40"/>
        <w:ind w:left="425"/>
      </w:pPr>
      <w:r/>
      <w:r>
        <w:rPr>
          <w:rFonts w:ascii="Times New Roman" w:hAnsi="Times New Roman"/>
          <w:color w:val="1E3A5F"/>
          <w:sz w:val="24"/>
        </w:rPr>
        <w:t>Randomised 10-question competence assessment drawn from a 17-question bank, with a 70% pass mark and unlimited retries. Each incorrect answer is followed by an explanation so the applicant learns from every attempt.</w:t>
      </w:r>
    </w:p>
    <w:p>
      <w:pPr>
        <w:pStyle w:val="ListBullet"/>
        <w:spacing w:after="40"/>
        <w:ind w:left="425"/>
      </w:pPr>
      <w:r/>
      <w:r>
        <w:rPr>
          <w:rFonts w:ascii="Times New Roman" w:hAnsi="Times New Roman"/>
          <w:color w:val="1E3A5F"/>
          <w:sz w:val="24"/>
        </w:rPr>
        <w:t>Real-time status tracking (Draft → Submitted → Under Review → Approved / Rejected → Certificate Issued) with a full audit-trail timeline visible per application.</w:t>
      </w:r>
    </w:p>
    <w:p>
      <w:pPr>
        <w:pStyle w:val="ListBullet"/>
        <w:spacing w:after="40"/>
        <w:ind w:left="425"/>
      </w:pPr>
      <w:r/>
      <w:r>
        <w:rPr>
          <w:rFonts w:ascii="Times New Roman" w:hAnsi="Times New Roman"/>
          <w:color w:val="1E3A5F"/>
          <w:sz w:val="24"/>
        </w:rPr>
        <w:t>One-click certificate viewing and printing, with the option to save the certificate as a PDF.</w:t>
      </w:r>
    </w:p>
    <w:p>
      <w:pPr>
        <w:keepNext/>
        <w:spacing w:before="160" w:after="40"/>
      </w:pPr>
      <w:r>
        <w:rPr>
          <w:rFonts w:ascii="Times New Roman" w:hAnsi="Times New Roman"/>
          <w:b/>
          <w:i/>
          <w:color w:val="B5471A"/>
          <w:sz w:val="24"/>
        </w:rPr>
        <w:t>For Reviewers and Bureau Officers</w:t>
      </w:r>
    </w:p>
    <w:p>
      <w:pPr>
        <w:pStyle w:val="ListBullet"/>
        <w:spacing w:after="40"/>
        <w:ind w:left="425"/>
      </w:pPr>
      <w:r/>
      <w:r>
        <w:rPr>
          <w:rFonts w:ascii="Times New Roman" w:hAnsi="Times New Roman"/>
          <w:color w:val="1E3A5F"/>
          <w:sz w:val="24"/>
        </w:rPr>
        <w:t>Application queue with full-text search and status filters (Submitted, Under Review, Issued, Rejected).</w:t>
      </w:r>
    </w:p>
    <w:p>
      <w:pPr>
        <w:pStyle w:val="ListBullet"/>
        <w:spacing w:after="40"/>
        <w:ind w:left="425"/>
      </w:pPr>
      <w:r/>
      <w:r>
        <w:rPr>
          <w:rFonts w:ascii="Times New Roman" w:hAnsi="Times New Roman"/>
          <w:color w:val="1E3A5F"/>
          <w:sz w:val="24"/>
        </w:rPr>
        <w:t>One-click workflow: Claim → Approve (auto-issues certificate) or Reject (with mandatory written reason).</w:t>
      </w:r>
    </w:p>
    <w:p>
      <w:pPr>
        <w:pStyle w:val="ListBullet"/>
        <w:spacing w:after="40"/>
        <w:ind w:left="425"/>
      </w:pPr>
      <w:r/>
      <w:r>
        <w:rPr>
          <w:rFonts w:ascii="Times New Roman" w:hAnsi="Times New Roman"/>
          <w:color w:val="1E3A5F"/>
          <w:sz w:val="24"/>
        </w:rPr>
        <w:t>Educational qualifications summary card per applicant, displaying all verified credentials at a glance.</w:t>
      </w:r>
    </w:p>
    <w:p>
      <w:pPr>
        <w:pStyle w:val="ListBullet"/>
        <w:spacing w:after="40"/>
        <w:ind w:left="425"/>
      </w:pPr>
      <w:r/>
      <w:r>
        <w:rPr>
          <w:rFonts w:ascii="Times New Roman" w:hAnsi="Times New Roman"/>
          <w:color w:val="1E3A5F"/>
          <w:sz w:val="24"/>
        </w:rPr>
        <w:t>Dashboard analytics with counts by status, certificates issued by sector, and a live recent-activity feed.</w:t>
      </w:r>
    </w:p>
    <w:p>
      <w:pPr>
        <w:pStyle w:val="ListBullet"/>
        <w:spacing w:after="40"/>
        <w:ind w:left="425"/>
      </w:pPr>
      <w:r/>
      <w:r>
        <w:rPr>
          <w:rFonts w:ascii="Times New Roman" w:hAnsi="Times New Roman"/>
          <w:color w:val="1E3A5F"/>
          <w:sz w:val="24"/>
        </w:rPr>
        <w:t>Full audit log — every action (login, claim, approve, reject, issue) is recorded with user, timestamp, and IP address, supporting accountability and after-the-fact investigation.</w:t>
      </w:r>
    </w:p>
    <w:p>
      <w:pPr>
        <w:keepNext/>
        <w:spacing w:before="160" w:after="40"/>
      </w:pPr>
      <w:r>
        <w:rPr>
          <w:rFonts w:ascii="Times New Roman" w:hAnsi="Times New Roman"/>
          <w:b/>
          <w:i/>
          <w:color w:val="B5471A"/>
          <w:sz w:val="24"/>
        </w:rPr>
        <w:t>For the Public</w:t>
      </w:r>
    </w:p>
    <w:p>
      <w:pPr>
        <w:pStyle w:val="ListBullet"/>
        <w:spacing w:after="40"/>
        <w:ind w:left="425"/>
      </w:pPr>
      <w:r/>
      <w:r>
        <w:rPr>
          <w:rFonts w:ascii="Times New Roman" w:hAnsi="Times New Roman"/>
          <w:color w:val="1E3A5F"/>
          <w:sz w:val="24"/>
        </w:rPr>
        <w:t>A public certificate verification endpoint. Any third party — a bank, a landlord, a partner business, a customer — can validate a certificate by entering its unique number (e.g. HRS-PCC-CERT-2026-0001) and receiving an instant valid/invalid response with the certificate holder's name, business name, and validity period.</w:t>
      </w:r>
    </w:p>
    <w:p>
      <w:pPr>
        <w:keepNext/>
        <w:spacing w:before="240" w:after="80"/>
      </w:pPr>
      <w:r>
        <w:rPr>
          <w:rFonts w:ascii="Times New Roman" w:hAnsi="Times New Roman"/>
          <w:b/>
          <w:color w:val="1E3A5F"/>
          <w:sz w:val="28"/>
        </w:rPr>
        <w:t>4.3  Cultural and Regional Alignment</w:t>
      </w:r>
    </w:p>
    <w:p>
      <w:pPr>
        <w:ind w:firstLine="482"/>
        <w:jc w:val="both"/>
      </w:pPr>
      <w:r>
        <w:rPr>
          <w:rFonts w:ascii="Times New Roman" w:hAnsi="Times New Roman"/>
          <w:color w:val="1E3A5F"/>
          <w:sz w:val="24"/>
        </w:rPr>
        <w:t>Unlike generic licensing software, the Harari PCC Portal is designed to feel native to the Region. The visual identity draws on Harari cultural motifs — the eight-pointed star, the Harar Jugol gate, and a colour palette of royal purple, gold, terracotta, cream, and Islamic green inspired by the historic walled city. The institutional emblem combines traditional Ethiopian symbolic elements (balance scale for justice, sun for hope, castle for heritage, gear for industry) reimagined in the regional palette. This cultural rooting matters: citizens are more likely to trust and adopt a service that visibly belongs to their own Region rather than a generic national template.</w:t>
      </w:r>
    </w:p>
    <w:p>
      <w:pPr>
        <w:keepNext/>
        <w:spacing w:before="360" w:after="160"/>
        <w:pBdr>
          <w:bottom w:val="single" w:sz="6" w:space="1" w:color="D4A537"/>
        </w:pBdr>
      </w:pPr>
      <w:r>
        <w:rPr>
          <w:rFonts w:ascii="Times New Roman" w:hAnsi="Times New Roman"/>
          <w:b/>
          <w:color w:val="5B2A86"/>
          <w:sz w:val="32"/>
        </w:rPr>
        <w:t>5. Technical Architecture</w:t>
      </w:r>
    </w:p>
    <w:p>
      <w:pPr>
        <w:keepNext/>
        <w:spacing w:before="240" w:after="80"/>
      </w:pPr>
      <w:r>
        <w:rPr>
          <w:rFonts w:ascii="Times New Roman" w:hAnsi="Times New Roman"/>
          <w:b/>
          <w:color w:val="1E3A5F"/>
          <w:sz w:val="28"/>
        </w:rPr>
        <w:t>5.1  Technology Stack</w:t>
      </w:r>
    </w:p>
    <w:p>
      <w:pPr>
        <w:ind w:firstLine="482"/>
        <w:jc w:val="both"/>
      </w:pPr>
      <w:r>
        <w:rPr>
          <w:rFonts w:ascii="Times New Roman" w:hAnsi="Times New Roman"/>
          <w:color w:val="1E3A5F"/>
          <w:sz w:val="24"/>
        </w:rPr>
        <w:t>The platform is built on a modern, industry-standard technology stack that is mature, well-documented, and widely supported by Ethiopian and international developers. This ensures the Region is not locked into a single vendor and can hire local talent to maintain and extend the system.</w:t>
      </w:r>
    </w:p>
    <w:tbl>
      <w:tblPr>
        <w:tblW w:type="auto" w:w="0"/>
        <w:jc w:val="center"/>
        <w:tblLayout w:type="fixed"/>
        <w:tblLook w:firstColumn="1" w:firstRow="1" w:lastColumn="0" w:lastRow="0" w:noHBand="0" w:noVBand="1" w:val="04A0"/>
      </w:tblPr>
      <w:tblGrid>
        <w:gridCol w:w="2929"/>
        <w:gridCol w:w="2929"/>
        <w:gridCol w:w="2929"/>
      </w:tblGrid>
      <w:tr>
        <w:tc>
          <w:tcPr>
            <w:tcW w:type="dxa" w:w="1701"/>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Layer</w:t>
            </w:r>
          </w:p>
        </w:tc>
        <w:tc>
          <w:tcPr>
            <w:tcW w:type="dxa" w:w="3685"/>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Technology</w:t>
            </w:r>
          </w:p>
        </w:tc>
        <w:tc>
          <w:tcPr>
            <w:tcW w:type="dxa" w:w="3288"/>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Role</w:t>
            </w:r>
          </w:p>
        </w:tc>
      </w:tr>
      <w:tr>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Frontend</w:t>
            </w:r>
          </w:p>
        </w:tc>
        <w:tc>
          <w:tcPr>
            <w:tcW w:type="dxa" w:w="3685"/>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Next.js 16 + TypeScript + Tailwind CSS + shadcn/ui</w:t>
            </w:r>
          </w:p>
        </w:tc>
        <w:tc>
          <w:tcPr>
            <w:tcW w:type="dxa" w:w="328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Responsive web interface, mobile-first design</w:t>
            </w:r>
          </w:p>
        </w:tc>
      </w:tr>
      <w:tr>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Backend</w:t>
            </w:r>
          </w:p>
        </w:tc>
        <w:tc>
          <w:tcPr>
            <w:tcW w:type="dxa" w:w="3685"/>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Next.js API routes (Node.js 20+)</w:t>
            </w:r>
          </w:p>
        </w:tc>
        <w:tc>
          <w:tcPr>
            <w:tcW w:type="dxa" w:w="328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REST API with 12 endpoint groups</w:t>
            </w:r>
          </w:p>
        </w:tc>
      </w:tr>
      <w:tr>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Database</w:t>
            </w:r>
          </w:p>
        </w:tc>
        <w:tc>
          <w:tcPr>
            <w:tcW w:type="dxa" w:w="3685"/>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Prisma ORM + PostgreSQL (production)</w:t>
            </w:r>
          </w:p>
        </w:tc>
        <w:tc>
          <w:tcPr>
            <w:tcW w:type="dxa" w:w="328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Relational storage with type-safe access</w:t>
            </w:r>
          </w:p>
        </w:tc>
      </w:tr>
      <w:tr>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Authentication</w:t>
            </w:r>
          </w:p>
        </w:tc>
        <w:tc>
          <w:tcPr>
            <w:tcW w:type="dxa" w:w="3685"/>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bcryptjs password hashing + JWT sessions in httpOnly cookies</w:t>
            </w:r>
          </w:p>
        </w:tc>
        <w:tc>
          <w:tcPr>
            <w:tcW w:type="dxa" w:w="328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Secure, stateless, scalable auth</w:t>
            </w:r>
          </w:p>
        </w:tc>
      </w:tr>
      <w:tr>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File storage</w:t>
            </w:r>
          </w:p>
        </w:tc>
        <w:tc>
          <w:tcPr>
            <w:tcW w:type="dxa" w:w="3685"/>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S3-compatible object storage (e.g., MinIO, AWS S3)</w:t>
            </w:r>
          </w:p>
        </w:tc>
        <w:tc>
          <w:tcPr>
            <w:tcW w:type="dxa" w:w="328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Encrypted document storage with signed URLs</w:t>
            </w:r>
          </w:p>
        </w:tc>
      </w:tr>
      <w:tr>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Security</w:t>
            </w:r>
          </w:p>
        </w:tc>
        <w:tc>
          <w:tcPr>
            <w:tcW w:type="dxa" w:w="3685"/>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Role-based access control enforced server-side</w:t>
            </w:r>
          </w:p>
        </w:tc>
        <w:tc>
          <w:tcPr>
            <w:tcW w:type="dxa" w:w="328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Applicant / Reviewer / Admin permissions</w:t>
            </w:r>
          </w:p>
        </w:tc>
      </w:tr>
    </w:tbl>
    <w:p>
      <w:pPr>
        <w:spacing w:before="40" w:after="200"/>
        <w:jc w:val="center"/>
      </w:pPr>
      <w:r>
        <w:rPr>
          <w:rFonts w:ascii="Times New Roman" w:hAnsi="Times New Roman"/>
          <w:i/>
          <w:color w:val="6B5B73"/>
          <w:sz w:val="20"/>
        </w:rPr>
        <w:t>Table 2. Production technology stack.</w:t>
      </w:r>
    </w:p>
    <w:p>
      <w:pPr>
        <w:keepNext/>
        <w:spacing w:before="240" w:after="80"/>
      </w:pPr>
      <w:r>
        <w:rPr>
          <w:rFonts w:ascii="Times New Roman" w:hAnsi="Times New Roman"/>
          <w:b/>
          <w:color w:val="1E3A5F"/>
          <w:sz w:val="28"/>
        </w:rPr>
        <w:t>5.2  Data Model and Security</w:t>
      </w:r>
    </w:p>
    <w:p>
      <w:pPr>
        <w:ind w:firstLine="482"/>
        <w:jc w:val="both"/>
      </w:pPr>
      <w:r>
        <w:rPr>
          <w:rFonts w:ascii="Times New Roman" w:hAnsi="Times New Roman"/>
          <w:color w:val="1E3A5F"/>
          <w:sz w:val="24"/>
        </w:rPr>
        <w:t>The platform stores seven core entities: user profiles, applications, documents, certificates, audit logs, notifications, and a sequence counter for reference-number generation. All sensitive fields — passwords, document files, audit logs — are protected at the application layer (bcrypt hashing, signed-URL access, server-side role checks) and at the database layer (PostgreSQL row-level security policies can be enabled for defence in depth).</w:t>
      </w:r>
    </w:p>
    <w:p>
      <w:pPr>
        <w:ind w:firstLine="482"/>
        <w:jc w:val="both"/>
      </w:pPr>
      <w:r>
        <w:rPr>
          <w:rFonts w:ascii="Times New Roman" w:hAnsi="Times New Roman"/>
          <w:color w:val="1E3A5F"/>
          <w:sz w:val="24"/>
        </w:rPr>
        <w:t>Document files (PDFs, images of certificates, lease agreements) are stored in an S3-compatible object store rather than in the database itself, which keeps the database small and fast and allows individual documents to be expired, backed up, or migrated independently. Access to documents is mediated by short-lived signed URLs that expire within sixty seconds, so even if a URL is leaked it cannot be reused.</w:t>
      </w:r>
    </w:p>
    <w:p>
      <w:pPr>
        <w:keepNext/>
        <w:spacing w:before="360" w:after="160"/>
        <w:pBdr>
          <w:bottom w:val="single" w:sz="6" w:space="1" w:color="D4A537"/>
        </w:pBdr>
      </w:pPr>
      <w:r>
        <w:rPr>
          <w:rFonts w:ascii="Times New Roman" w:hAnsi="Times New Roman"/>
          <w:b/>
          <w:color w:val="5B2A86"/>
          <w:sz w:val="32"/>
        </w:rPr>
        <w:t>6. Implementation Plan</w:t>
      </w:r>
    </w:p>
    <w:p>
      <w:pPr>
        <w:keepNext/>
        <w:spacing w:before="240" w:after="80"/>
      </w:pPr>
      <w:r>
        <w:rPr>
          <w:rFonts w:ascii="Times New Roman" w:hAnsi="Times New Roman"/>
          <w:b/>
          <w:color w:val="1E3A5F"/>
          <w:sz w:val="28"/>
        </w:rPr>
        <w:t>6.1  Phased Approach</w:t>
      </w:r>
    </w:p>
    <w:p>
      <w:pPr>
        <w:ind w:firstLine="482"/>
        <w:jc w:val="both"/>
      </w:pPr>
      <w:r>
        <w:rPr>
          <w:rFonts w:ascii="Times New Roman" w:hAnsi="Times New Roman"/>
          <w:color w:val="1E3A5F"/>
          <w:sz w:val="24"/>
        </w:rPr>
        <w:t>We propose a four-phase implementation over twelve months. Each phase concludes with a concrete deliverable that the Bureau can review and approve before the next phase begins.</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1928"/>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Phase</w:t>
            </w:r>
          </w:p>
        </w:tc>
        <w:tc>
          <w:tcPr>
            <w:tcW w:type="dxa" w:w="1247"/>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Duration</w:t>
            </w:r>
          </w:p>
        </w:tc>
        <w:tc>
          <w:tcPr>
            <w:tcW w:type="dxa" w:w="3969"/>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Key Activities</w:t>
            </w:r>
          </w:p>
        </w:tc>
        <w:tc>
          <w:tcPr>
            <w:tcW w:type="dxa" w:w="1701"/>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Deliverable</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1. Production deployment</w:t>
            </w:r>
          </w:p>
        </w:tc>
        <w:tc>
          <w:tcPr>
            <w:tcW w:type="dxa" w:w="1247"/>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Months 1–2</w:t>
            </w:r>
          </w:p>
        </w:tc>
        <w:tc>
          <w:tcPr>
            <w:tcW w:type="dxa" w:w="3969"/>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Provision production infrastructure (database, storage, hosting). Migrate from SQLite to PostgreSQL. Configure backups, monitoring, and a custom domain (pcc.harariregion.gov.et).</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Live production environment</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2. Pilot rollout</w:t>
            </w:r>
          </w:p>
        </w:tc>
        <w:tc>
          <w:tcPr>
            <w:tcW w:type="dxa" w:w="1247"/>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Months 3–4</w:t>
            </w:r>
          </w:p>
        </w:tc>
        <w:tc>
          <w:tcPr>
            <w:tcW w:type="dxa" w:w="3969"/>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Onboard the first cohort of 50 applicants and 3 reviewers from the Bureau. Run parallel paper + digital processing. Collect feedback weekly.</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Pilot evaluation report</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3. Full rollout &amp; training</w:t>
            </w:r>
          </w:p>
        </w:tc>
        <w:tc>
          <w:tcPr>
            <w:tcW w:type="dxa" w:w="1247"/>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Months 5–8</w:t>
            </w:r>
          </w:p>
        </w:tc>
        <w:tc>
          <w:tcPr>
            <w:tcW w:type="dxa" w:w="3969"/>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Train all Bureau licensing staff. Open the portal to the general public. Decommission paper-only intake. Run public awareness campaign.</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Public launch + trained staff</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4. Stabilisation &amp; handover</w:t>
            </w:r>
          </w:p>
        </w:tc>
        <w:tc>
          <w:tcPr>
            <w:tcW w:type="dxa" w:w="1247"/>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Months 9–12</w:t>
            </w:r>
          </w:p>
        </w:tc>
        <w:tc>
          <w:tcPr>
            <w:tcW w:type="dxa" w:w="3969"/>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Bug fixes, performance tuning, first analytics review. Hand over operational responsibility to the Bureau IT unit. Prepare roadmap for year-2 enhancements.</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Operational handover</w:t>
            </w:r>
          </w:p>
        </w:tc>
      </w:tr>
    </w:tbl>
    <w:p>
      <w:pPr>
        <w:spacing w:before="40" w:after="200"/>
        <w:jc w:val="center"/>
      </w:pPr>
      <w:r>
        <w:rPr>
          <w:rFonts w:ascii="Times New Roman" w:hAnsi="Times New Roman"/>
          <w:i/>
          <w:color w:val="6B5B73"/>
          <w:sz w:val="20"/>
        </w:rPr>
        <w:t>Table 3. Four-phase implementation plan over twelve months.</w:t>
      </w:r>
    </w:p>
    <w:p>
      <w:pPr>
        <w:keepNext/>
        <w:spacing w:before="240" w:after="80"/>
      </w:pPr>
      <w:r>
        <w:rPr>
          <w:rFonts w:ascii="Times New Roman" w:hAnsi="Times New Roman"/>
          <w:b/>
          <w:color w:val="1E3A5F"/>
          <w:sz w:val="28"/>
        </w:rPr>
        <w:t>6.2  Key Milestones</w:t>
      </w:r>
    </w:p>
    <w:p>
      <w:pPr>
        <w:pStyle w:val="ListBullet"/>
        <w:spacing w:after="40"/>
        <w:ind w:left="425"/>
      </w:pPr>
      <w:r/>
      <w:r>
        <w:rPr>
          <w:rFonts w:ascii="Times New Roman" w:hAnsi="Times New Roman"/>
          <w:color w:val="1E3A5F"/>
          <w:sz w:val="24"/>
        </w:rPr>
        <w:t>Month 2: Production environment live at pcc.harariregion.gov.et.</w:t>
      </w:r>
    </w:p>
    <w:p>
      <w:pPr>
        <w:pStyle w:val="ListBullet"/>
        <w:spacing w:after="40"/>
        <w:ind w:left="425"/>
      </w:pPr>
      <w:r/>
      <w:r>
        <w:rPr>
          <w:rFonts w:ascii="Times New Roman" w:hAnsi="Times New Roman"/>
          <w:color w:val="1E3A5F"/>
          <w:sz w:val="24"/>
        </w:rPr>
        <w:t>Month 4: Pilot evaluation report delivered to the Bureau leadership.</w:t>
      </w:r>
    </w:p>
    <w:p>
      <w:pPr>
        <w:pStyle w:val="ListBullet"/>
        <w:spacing w:after="40"/>
        <w:ind w:left="425"/>
      </w:pPr>
      <w:r/>
      <w:r>
        <w:rPr>
          <w:rFonts w:ascii="Times New Roman" w:hAnsi="Times New Roman"/>
          <w:color w:val="1E3A5F"/>
          <w:sz w:val="24"/>
        </w:rPr>
        <w:t>Month 5: All Bureau licensing staff trained and certified on the platform.</w:t>
      </w:r>
    </w:p>
    <w:p>
      <w:pPr>
        <w:pStyle w:val="ListBullet"/>
        <w:spacing w:after="40"/>
        <w:ind w:left="425"/>
      </w:pPr>
      <w:r/>
      <w:r>
        <w:rPr>
          <w:rFonts w:ascii="Times New Roman" w:hAnsi="Times New Roman"/>
          <w:color w:val="1E3A5F"/>
          <w:sz w:val="24"/>
        </w:rPr>
        <w:t>Month 6: Public launch; paper-only intake decommissioned.</w:t>
      </w:r>
    </w:p>
    <w:p>
      <w:pPr>
        <w:pStyle w:val="ListBullet"/>
        <w:spacing w:after="40"/>
        <w:ind w:left="425"/>
      </w:pPr>
      <w:r/>
      <w:r>
        <w:rPr>
          <w:rFonts w:ascii="Times New Roman" w:hAnsi="Times New Roman"/>
          <w:color w:val="1E3A5F"/>
          <w:sz w:val="24"/>
        </w:rPr>
        <w:t>Month 12: Operational handover to the Bureau IT unit; year-2 roadmap agreed.</w:t>
      </w:r>
    </w:p>
    <w:p>
      <w:pPr>
        <w:keepNext/>
        <w:spacing w:before="360" w:after="160"/>
        <w:pBdr>
          <w:bottom w:val="single" w:sz="6" w:space="1" w:color="D4A537"/>
        </w:pBdr>
      </w:pPr>
      <w:r>
        <w:rPr>
          <w:rFonts w:ascii="Times New Roman" w:hAnsi="Times New Roman"/>
          <w:b/>
          <w:color w:val="5B2A86"/>
          <w:sz w:val="32"/>
        </w:rPr>
        <w:t>7. Budget</w:t>
      </w:r>
    </w:p>
    <w:p>
      <w:pPr>
        <w:ind w:firstLine="482"/>
        <w:jc w:val="both"/>
      </w:pPr>
      <w:r>
        <w:rPr>
          <w:rFonts w:ascii="Times New Roman" w:hAnsi="Times New Roman"/>
          <w:color w:val="1E3A5F"/>
          <w:sz w:val="24"/>
        </w:rPr>
        <w:t>The total requested budget for the twelve-month implementation and first-year operation is ETB 2,460,000. The budget is divided into four categories: one-time setup, software development and customisation, capacity building and training, and recurring operating costs. All figures are in Ethiopian Birr and are estimates based on typical Ethiopian IT project costing; final figures will be confirmed during procurement.</w:t>
      </w:r>
    </w:p>
    <w:tbl>
      <w:tblPr>
        <w:tblW w:type="auto" w:w="0"/>
        <w:jc w:val="center"/>
        <w:tblLayout w:type="fixed"/>
        <w:tblLook w:firstColumn="1" w:firstRow="1" w:lastColumn="0" w:lastRow="0" w:noHBand="0" w:noVBand="1" w:val="04A0"/>
      </w:tblPr>
      <w:tblGrid>
        <w:gridCol w:w="2929"/>
        <w:gridCol w:w="2929"/>
        <w:gridCol w:w="2929"/>
      </w:tblGrid>
      <w:tr>
        <w:tc>
          <w:tcPr>
            <w:tcW w:type="dxa" w:w="1928"/>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Category</w:t>
            </w:r>
          </w:p>
        </w:tc>
        <w:tc>
          <w:tcPr>
            <w:tcW w:type="dxa" w:w="5102"/>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Line item</w:t>
            </w:r>
          </w:p>
        </w:tc>
        <w:tc>
          <w:tcPr>
            <w:tcW w:type="dxa" w:w="1701"/>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ETB</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One-time setup</w:t>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Domain registration (pcc.harariregion.gov.et) — 3 years</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15,000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SSL certificate — 3 years</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30,000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Production hosting (cloud VPS, 4 vCPU / 8 GB) — 12 mo</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180,000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PostgreSQL managed database — 12 mo</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144,000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S3-compatible object storage (50 GB) — 12 mo</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60,000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Backup and disaster recovery setup</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75,000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Development</w:t>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Production hardening, security audit, PostgreSQL migration</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350,000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Integration with ERCA TIN verification API</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180,000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Amharic / Arabic localisation (UI + assessment)</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120,000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Mobile-responsive optimisation and PWA support</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150,000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Bug fixing and feature polishing (months 9–12)</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200,000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Capacity building</w:t>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Training of 10 Bureau staff (3 days @ ETB 8,000/day)</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240,000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Training materials, manuals, video tutorials</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60,000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Public awareness campaign (radio, social, flyers)</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150,000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Operations</w:t>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System administrator (part-time, 12 mo)</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300,000</w:t>
            </w:r>
          </w:p>
        </w:tc>
      </w:tr>
      <w:tr>
        <w:tc>
          <w:tcPr>
            <w:tcW w:type="dxa" w:w="1928"/>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Monitoring, security patching, incident response</w:t>
            </w:r>
          </w:p>
        </w:tc>
        <w:tc>
          <w:tcPr>
            <w:tcW w:type="dxa" w:w="1701"/>
            <w:shd w:val="clear" w:color="auto" w:fill="FBF3E2"/>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120,000</w:t>
            </w:r>
          </w:p>
        </w:tc>
      </w:tr>
      <w:tr>
        <w:tc>
          <w:tcPr>
            <w:tcW w:type="dxa" w:w="1928"/>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r>
          </w:p>
        </w:tc>
        <w:tc>
          <w:tcPr>
            <w:tcW w:type="dxa" w:w="5102"/>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Contingency (10%)</w:t>
            </w:r>
          </w:p>
        </w:tc>
        <w:tc>
          <w:tcPr>
            <w:tcW w:type="dxa" w:w="1701"/>
            <w:shd w:val="clear" w:color="auto" w:fill="FFFFFF"/>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color w:val="1E3A5F"/>
                <w:sz w:val="22"/>
              </w:rPr>
              <w:t>186,000</w:t>
            </w:r>
          </w:p>
        </w:tc>
      </w:tr>
      <w:tr>
        <w:tc>
          <w:tcPr>
            <w:tcW w:type="dxa" w:w="1928"/>
            <w:shd w:val="clear" w:color="auto" w:fill="B5471A"/>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r>
          </w:p>
        </w:tc>
        <w:tc>
          <w:tcPr>
            <w:tcW w:type="dxa" w:w="5102"/>
            <w:shd w:val="clear" w:color="auto" w:fill="B5471A"/>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TOTAL</w:t>
            </w:r>
          </w:p>
        </w:tc>
        <w:tc>
          <w:tcPr>
            <w:tcW w:type="dxa" w:w="1701"/>
            <w:shd w:val="clear" w:color="auto" w:fill="B5471A"/>
            <w:tcBorders>
              <w:top w:val="single" w:sz="4" w:space="0" w:color="D4A537"/>
              <w:left w:val="single" w:sz="4" w:space="0" w:color="D4A537"/>
              <w:bottom w:val="single" w:sz="4" w:space="0" w:color="D4A537"/>
              <w:right w:val="single" w:sz="4" w:space="0" w:color="D4A537"/>
            </w:tcBorders>
          </w:tcPr>
          <w:p>
            <w:pPr>
              <w:spacing w:before="40" w:after="40"/>
              <w:jc w:val="right"/>
            </w:pPr>
            <w:r>
              <w:rPr>
                <w:rFonts w:ascii="Times New Roman" w:hAnsi="Times New Roman"/>
                <w:b/>
                <w:color w:val="FFFFFF"/>
                <w:sz w:val="22"/>
              </w:rPr>
              <w:t>2,460,000</w:t>
            </w:r>
          </w:p>
        </w:tc>
      </w:tr>
    </w:tbl>
    <w:p>
      <w:pPr>
        <w:spacing w:before="40" w:after="200"/>
        <w:jc w:val="center"/>
      </w:pPr>
      <w:r>
        <w:rPr>
          <w:rFonts w:ascii="Times New Roman" w:hAnsi="Times New Roman"/>
          <w:i/>
          <w:color w:val="6B5B73"/>
          <w:sz w:val="20"/>
        </w:rPr>
        <w:t>Table 4. Detailed project budget in Ethiopian Birr (ETB).</w:t>
      </w:r>
    </w:p>
    <w:p>
      <w:pPr>
        <w:keepNext/>
        <w:spacing w:before="360" w:after="160"/>
        <w:pBdr>
          <w:bottom w:val="single" w:sz="6" w:space="1" w:color="D4A537"/>
        </w:pBdr>
      </w:pPr>
      <w:r>
        <w:rPr>
          <w:rFonts w:ascii="Times New Roman" w:hAnsi="Times New Roman"/>
          <w:b/>
          <w:color w:val="5B2A86"/>
          <w:sz w:val="32"/>
        </w:rPr>
        <w:t>8. Risk Analysis and Mitigation</w:t>
      </w:r>
    </w:p>
    <w:p>
      <w:pPr>
        <w:ind w:firstLine="482"/>
        <w:jc w:val="both"/>
      </w:pPr>
      <w:r>
        <w:rPr>
          <w:rFonts w:ascii="Times New Roman" w:hAnsi="Times New Roman"/>
          <w:color w:val="1E3A5F"/>
          <w:sz w:val="24"/>
        </w:rPr>
        <w:t>We have identified five principal risks to successful delivery and adoption. None of them is unusual for a government digital-service project, and each has a concrete mitigation plan.</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551"/>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Risk</w:t>
            </w:r>
          </w:p>
        </w:tc>
        <w:tc>
          <w:tcPr>
            <w:tcW w:type="dxa" w:w="1134"/>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Likelihood</w:t>
            </w:r>
          </w:p>
        </w:tc>
        <w:tc>
          <w:tcPr>
            <w:tcW w:type="dxa" w:w="1020"/>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Impact</w:t>
            </w:r>
          </w:p>
        </w:tc>
        <w:tc>
          <w:tcPr>
            <w:tcW w:type="dxa" w:w="3969"/>
            <w:shd w:val="clear" w:color="auto" w:fill="5B2A86"/>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b/>
                <w:color w:val="FFFFFF"/>
                <w:sz w:val="22"/>
              </w:rPr>
              <w:t>Mitigation</w:t>
            </w:r>
          </w:p>
        </w:tc>
      </w:tr>
      <w:tr>
        <w:tc>
          <w:tcPr>
            <w:tcW w:type="dxa" w:w="255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Low digital literacy among rural applicants</w:t>
            </w:r>
          </w:p>
        </w:tc>
        <w:tc>
          <w:tcPr>
            <w:tcW w:type="dxa" w:w="1134"/>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1020"/>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3969"/>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Provide a printable step-by-step guide in Amharic; offer assisted-application windows at the Bureau office during the first six months.</w:t>
            </w:r>
          </w:p>
        </w:tc>
      </w:tr>
      <w:tr>
        <w:tc>
          <w:tcPr>
            <w:tcW w:type="dxa" w:w="255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Staff resistance to new workflow</w:t>
            </w:r>
          </w:p>
        </w:tc>
        <w:tc>
          <w:tcPr>
            <w:tcW w:type="dxa" w:w="1134"/>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1020"/>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High</w:t>
            </w:r>
          </w:p>
        </w:tc>
        <w:tc>
          <w:tcPr>
            <w:tcW w:type="dxa" w:w="3969"/>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Involve Bureau staff in pilot feedback; run three-day hands-on training; designate a staff champion in each division.</w:t>
            </w:r>
          </w:p>
        </w:tc>
      </w:tr>
      <w:tr>
        <w:tc>
          <w:tcPr>
            <w:tcW w:type="dxa" w:w="255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Internet connectivity outages</w:t>
            </w:r>
          </w:p>
        </w:tc>
        <w:tc>
          <w:tcPr>
            <w:tcW w:type="dxa" w:w="1134"/>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1020"/>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3969"/>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The portal is designed to gracefully resume in-progress applications; offline data entry can be done at the Bureau office using the staff console.</w:t>
            </w:r>
          </w:p>
        </w:tc>
      </w:tr>
      <w:tr>
        <w:tc>
          <w:tcPr>
            <w:tcW w:type="dxa" w:w="2551"/>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Data breach or document leakage</w:t>
            </w:r>
          </w:p>
        </w:tc>
        <w:tc>
          <w:tcPr>
            <w:tcW w:type="dxa" w:w="1134"/>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Low</w:t>
            </w:r>
          </w:p>
        </w:tc>
        <w:tc>
          <w:tcPr>
            <w:tcW w:type="dxa" w:w="1020"/>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High</w:t>
            </w:r>
          </w:p>
        </w:tc>
        <w:tc>
          <w:tcPr>
            <w:tcW w:type="dxa" w:w="3969"/>
            <w:shd w:val="clear" w:color="auto" w:fill="FBF3E2"/>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All documents stored in encrypted object storage; access mediated by short-lived signed URLs; full audit log of every access; quarterly security review.</w:t>
            </w:r>
          </w:p>
        </w:tc>
      </w:tr>
      <w:tr>
        <w:tc>
          <w:tcPr>
            <w:tcW w:type="dxa" w:w="2551"/>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Scope creep (new feature requests during build)</w:t>
            </w:r>
          </w:p>
        </w:tc>
        <w:tc>
          <w:tcPr>
            <w:tcW w:type="dxa" w:w="1134"/>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High</w:t>
            </w:r>
          </w:p>
        </w:tc>
        <w:tc>
          <w:tcPr>
            <w:tcW w:type="dxa" w:w="1020"/>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Medium</w:t>
            </w:r>
          </w:p>
        </w:tc>
        <w:tc>
          <w:tcPr>
            <w:tcW w:type="dxa" w:w="3969"/>
            <w:shd w:val="clear" w:color="auto" w:fill="FFFFFF"/>
            <w:tcBorders>
              <w:top w:val="single" w:sz="4" w:space="0" w:color="D4A537"/>
              <w:left w:val="single" w:sz="4" w:space="0" w:color="D4A537"/>
              <w:bottom w:val="single" w:sz="4" w:space="0" w:color="D4A537"/>
              <w:right w:val="single" w:sz="4" w:space="0" w:color="D4A537"/>
            </w:tcBorders>
          </w:tcPr>
          <w:p>
            <w:pPr>
              <w:spacing w:before="40" w:after="40"/>
            </w:pPr>
            <w:r>
              <w:rPr>
                <w:rFonts w:ascii="Times New Roman" w:hAnsi="Times New Roman"/>
                <w:color w:val="1E3A5F"/>
                <w:sz w:val="22"/>
              </w:rPr>
              <w:t>Strict change-control process: any new feature requested after Month 2 is logged and scheduled for Year 2 unless it blocks launch.</w:t>
            </w:r>
          </w:p>
        </w:tc>
      </w:tr>
    </w:tbl>
    <w:p>
      <w:pPr>
        <w:spacing w:before="40" w:after="200"/>
        <w:jc w:val="center"/>
      </w:pPr>
      <w:r>
        <w:rPr>
          <w:rFonts w:ascii="Times New Roman" w:hAnsi="Times New Roman"/>
          <w:i/>
          <w:color w:val="6B5B73"/>
          <w:sz w:val="20"/>
        </w:rPr>
        <w:t>Table 5. Risk register with mitigation actions.</w:t>
      </w:r>
    </w:p>
    <w:p>
      <w:pPr>
        <w:keepNext/>
        <w:spacing w:before="360" w:after="160"/>
        <w:pBdr>
          <w:bottom w:val="single" w:sz="6" w:space="1" w:color="D4A537"/>
        </w:pBdr>
      </w:pPr>
      <w:r>
        <w:rPr>
          <w:rFonts w:ascii="Times New Roman" w:hAnsi="Times New Roman"/>
          <w:b/>
          <w:color w:val="5B2A86"/>
          <w:sz w:val="32"/>
        </w:rPr>
        <w:t>9. Sustainability</w:t>
      </w:r>
    </w:p>
    <w:p>
      <w:pPr>
        <w:ind w:firstLine="482"/>
        <w:jc w:val="both"/>
      </w:pPr>
      <w:r>
        <w:rPr>
          <w:rFonts w:ascii="Times New Roman" w:hAnsi="Times New Roman"/>
          <w:color w:val="1E3A5F"/>
          <w:sz w:val="24"/>
        </w:rPr>
        <w:t>Beyond the first twelve months, the platform is designed to be sustainable in three respects: technical, financial, and institutional.</w:t>
      </w:r>
    </w:p>
    <w:p>
      <w:pPr>
        <w:keepNext/>
        <w:spacing w:before="240" w:after="80"/>
      </w:pPr>
      <w:r>
        <w:rPr>
          <w:rFonts w:ascii="Times New Roman" w:hAnsi="Times New Roman"/>
          <w:b/>
          <w:color w:val="1E3A5F"/>
          <w:sz w:val="28"/>
        </w:rPr>
        <w:t>9.1  Technical Sustainability</w:t>
      </w:r>
    </w:p>
    <w:p>
      <w:pPr>
        <w:ind w:firstLine="482"/>
        <w:jc w:val="both"/>
      </w:pPr>
      <w:r>
        <w:rPr>
          <w:rFonts w:ascii="Times New Roman" w:hAnsi="Times New Roman"/>
          <w:color w:val="1E3A5F"/>
          <w:sz w:val="24"/>
        </w:rPr>
        <w:t>The technology stack is built on widely-used open-source frameworks (Next.js, PostgreSQL, Prisma). This means the Bureau is not dependent on any single vendor for maintenance or enhancements — any competent Ethiopian software developer can be onboarded to support the system. The codebase is TypeScript throughout, which reduces the cost of future changes by catching errors at compile time. Documentation — including a comprehensive README, API reference, and operational runbook — will be delivered as part of the handover.</w:t>
      </w:r>
    </w:p>
    <w:p>
      <w:pPr>
        <w:keepNext/>
        <w:spacing w:before="240" w:after="80"/>
      </w:pPr>
      <w:r>
        <w:rPr>
          <w:rFonts w:ascii="Times New Roman" w:hAnsi="Times New Roman"/>
          <w:b/>
          <w:color w:val="1E3A5F"/>
          <w:sz w:val="28"/>
        </w:rPr>
        <w:t>9.2  Financial Sustainability</w:t>
      </w:r>
    </w:p>
    <w:p>
      <w:pPr>
        <w:ind w:firstLine="482"/>
        <w:jc w:val="both"/>
      </w:pPr>
      <w:r>
        <w:rPr>
          <w:rFonts w:ascii="Times New Roman" w:hAnsi="Times New Roman"/>
          <w:color w:val="1E3A5F"/>
          <w:sz w:val="24"/>
        </w:rPr>
        <w:t>Recurring annual operating costs after Year 1 are estimated at ETB 420,000 (hosting, database, storage, domain, SSL, part-time system administrator). These costs can be absorbed into the Bureau's regular IT operating budget. The Region may also, in future, introduce a small digital-service fee per application (as several other regions have done) to fully recover operating costs from applicants who choose to use the digital channel.</w:t>
      </w:r>
    </w:p>
    <w:p>
      <w:pPr>
        <w:keepNext/>
        <w:spacing w:before="240" w:after="80"/>
      </w:pPr>
      <w:r>
        <w:rPr>
          <w:rFonts w:ascii="Times New Roman" w:hAnsi="Times New Roman"/>
          <w:b/>
          <w:color w:val="1E3A5F"/>
          <w:sz w:val="28"/>
        </w:rPr>
        <w:t>9.3  Institutional Sustainability</w:t>
      </w:r>
    </w:p>
    <w:p>
      <w:pPr>
        <w:ind w:firstLine="482"/>
        <w:jc w:val="both"/>
      </w:pPr>
      <w:r>
        <w:rPr>
          <w:rFonts w:ascii="Times New Roman" w:hAnsi="Times New Roman"/>
          <w:color w:val="1E3A5F"/>
          <w:sz w:val="24"/>
        </w:rPr>
        <w:t>Operational responsibility for the platform will be transferred to the Bureau IT unit by Month 12. The handover will include: source code, documentation, operational runbooks, monitoring dashboards, and a one-month shadow-support period during which the development team remains available for escalation. The Bureau IT unit will be trained to handle routine operations (user management, application review support, certificate verification, backup verification) without external assistance.</w:t>
      </w:r>
    </w:p>
    <w:p>
      <w:pPr>
        <w:keepNext/>
        <w:spacing w:before="360" w:after="160"/>
        <w:pBdr>
          <w:bottom w:val="single" w:sz="6" w:space="1" w:color="D4A537"/>
        </w:pBdr>
      </w:pPr>
      <w:r>
        <w:rPr>
          <w:rFonts w:ascii="Times New Roman" w:hAnsi="Times New Roman"/>
          <w:b/>
          <w:color w:val="5B2A86"/>
          <w:sz w:val="32"/>
        </w:rPr>
        <w:t>10. Conclusion and Requested Action</w:t>
      </w:r>
    </w:p>
    <w:p>
      <w:pPr>
        <w:ind w:firstLine="482"/>
        <w:jc w:val="both"/>
      </w:pPr>
      <w:r>
        <w:rPr>
          <w:rFonts w:ascii="Times New Roman" w:hAnsi="Times New Roman"/>
          <w:color w:val="1E3A5F"/>
          <w:sz w:val="24"/>
        </w:rPr>
        <w:t>The Harari PCC Portal is a complete, working, region-specific digital platform that addresses a real, documented pain point in the daily experience of Harari entrepreneurs. It is not a concept or a mockup — it is a functioning prototype that can be deployed to production within two months of approval. It aligns with federal digital-transformation priorities, respects the Region's cultural identity, and is built on a maintainable open-source stack.</w:t>
      </w:r>
    </w:p>
    <w:p>
      <w:pPr>
        <w:ind w:firstLine="482"/>
        <w:jc w:val="both"/>
      </w:pPr>
      <w:r>
        <w:rPr>
          <w:rFonts w:ascii="Times New Roman" w:hAnsi="Times New Roman"/>
          <w:color w:val="1E3A5F"/>
          <w:sz w:val="24"/>
        </w:rPr>
        <w:t>We respectfully request the Regional Council to:</w:t>
      </w:r>
    </w:p>
    <w:p>
      <w:pPr>
        <w:pStyle w:val="ListBullet"/>
        <w:spacing w:after="40"/>
        <w:ind w:left="425"/>
      </w:pPr>
      <w:r/>
      <w:r>
        <w:rPr>
          <w:rFonts w:ascii="Times New Roman" w:hAnsi="Times New Roman"/>
          <w:color w:val="1E3A5F"/>
          <w:sz w:val="24"/>
        </w:rPr>
        <w:t>Formally adopt the Harari PCC Portal as the official digital channel for Professional Competence Certificate issuance in the Harari Region.</w:t>
      </w:r>
    </w:p>
    <w:p>
      <w:pPr>
        <w:pStyle w:val="ListBullet"/>
        <w:spacing w:after="40"/>
        <w:ind w:left="425"/>
      </w:pPr>
      <w:r/>
      <w:r>
        <w:rPr>
          <w:rFonts w:ascii="Times New Roman" w:hAnsi="Times New Roman"/>
          <w:color w:val="1E3A5F"/>
          <w:sz w:val="24"/>
        </w:rPr>
        <w:t>Approve a twelve-month implementation and operating budget of ETB 2,460,000, drawn from the Bureau's innovation and digital-transformation allocation.</w:t>
      </w:r>
    </w:p>
    <w:p>
      <w:pPr>
        <w:pStyle w:val="ListBullet"/>
        <w:spacing w:after="40"/>
        <w:ind w:left="425"/>
      </w:pPr>
      <w:r/>
      <w:r>
        <w:rPr>
          <w:rFonts w:ascii="Times New Roman" w:hAnsi="Times New Roman"/>
          <w:color w:val="1E3A5F"/>
          <w:sz w:val="24"/>
        </w:rPr>
        <w:t>Designate a project sponsor at the level of Bureau Head, with authority to coordinate across IT, licensing, and communications functions.</w:t>
      </w:r>
    </w:p>
    <w:p>
      <w:pPr>
        <w:pStyle w:val="ListBullet"/>
        <w:spacing w:after="40"/>
        <w:ind w:left="425"/>
      </w:pPr>
      <w:r/>
      <w:r>
        <w:rPr>
          <w:rFonts w:ascii="Times New Roman" w:hAnsi="Times New Roman"/>
          <w:color w:val="1E3A5F"/>
          <w:sz w:val="24"/>
        </w:rPr>
        <w:t>Authorize a public launch by Month 6 of the implementation timeline, accompanied by the planned awareness campaign.</w:t>
      </w:r>
    </w:p>
    <w:p>
      <w:pPr>
        <w:jc w:val="both"/>
      </w:pPr>
      <w:r>
        <w:rPr>
          <w:rFonts w:ascii="Times New Roman" w:hAnsi="Times New Roman"/>
          <w:color w:val="1E3A5F"/>
          <w:sz w:val="24"/>
        </w:rPr>
        <w:t>We are available at the Council's convenience to present the working prototype in a live demonstration, to answer technical or operational questions, and to refine the proposal based on the Council's guidance.</w:t>
      </w:r>
    </w:p>
    <w:p/>
    <w:p/>
    <w:p>
      <w:pPr>
        <w:jc w:val="right"/>
      </w:pPr>
      <w:r>
        <w:rPr>
          <w:rFonts w:ascii="Times New Roman" w:hAnsi="Times New Roman"/>
          <w:i/>
          <w:color w:val="6B5B73"/>
          <w:sz w:val="22"/>
        </w:rPr>
        <w:t>Submitted by:</w:t>
      </w:r>
    </w:p>
    <w:p>
      <w:pPr>
        <w:jc w:val="right"/>
      </w:pPr>
      <w:r>
        <w:rPr>
          <w:rFonts w:ascii="Times New Roman" w:hAnsi="Times New Roman"/>
          <w:b/>
          <w:color w:val="5B2A86"/>
          <w:sz w:val="24"/>
        </w:rPr>
        <w:t>Trade, Industry &amp; Tourism Development Bureau</w:t>
      </w:r>
    </w:p>
    <w:p>
      <w:pPr>
        <w:jc w:val="right"/>
      </w:pPr>
      <w:r>
        <w:rPr>
          <w:rFonts w:ascii="Times New Roman" w:hAnsi="Times New Roman"/>
          <w:color w:val="1E3A5F"/>
          <w:sz w:val="22"/>
        </w:rPr>
        <w:t>Harari People Regional State  ·  June 2026</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120"/>
    </w:pPr>
    <w:rPr>
      <w:rFonts w:ascii="Times New Roman" w:hAnsi="Times New Roman" w:eastAsia="SimSun"/>
      <w:color w:val="1E3A5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