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0F6B4A"/>
          <w:sz w:val="48"/>
        </w:rPr>
        <w:t>MINISTRY OF COMMUNICATION AND INFORMATION TECHNOLOGY (MCIT)</w:t>
        <w:br/>
        <w:t>HARARI REGIONAL STATE</w:t>
      </w:r>
    </w:p>
    <w:p>
      <w:pPr>
        <w:spacing w:before="0" w:after="400"/>
        <w:jc w:val="center"/>
      </w:pPr>
      <w:r>
        <w:rPr>
          <w:rFonts w:ascii="Calibri" w:hAnsi="Calibri"/>
          <w:b/>
          <w:color w:val="C89B3C"/>
          <w:sz w:val="24"/>
        </w:rPr>
        <w:t>PROFESSIONAL COMPETENCE CERTIFICATE (PCC) PORTAL</w:t>
        <w:br/>
        <w:t>Full-Stack Software Architecture, System Walkthrough &amp; Oral Defense Manual</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c>
          <w:tcPr>
            <w:tcW w:type="dxa" w:w="3168"/>
            <w:shd w:fill="F8FAFC"/>
            <w:tcMar>
              <w:top w:w="60" w:type="dxa"/>
              <w:bottom w:w="60" w:type="dxa"/>
              <w:left w:w="100" w:type="dxa"/>
              <w:right w:w="100" w:type="dxa"/>
            </w:tcMar>
          </w:tcPr>
          <w:p>
            <w:pPr>
              <w:spacing w:before="0" w:after="0"/>
            </w:pPr>
            <w:r>
              <w:rPr>
                <w:rFonts w:ascii="Calibri" w:hAnsi="Calibri"/>
                <w:b/>
                <w:color w:val="0F6B4A"/>
                <w:sz w:val="19"/>
              </w:rPr>
              <w:t>Project Title</w:t>
            </w:r>
          </w:p>
        </w:tc>
        <w:tc>
          <w:tcPr>
            <w:tcW w:type="dxa" w:w="6192"/>
            <w:tcMar>
              <w:top w:w="60" w:type="dxa"/>
              <w:bottom w:w="60" w:type="dxa"/>
              <w:left w:w="100" w:type="dxa"/>
              <w:right w:w="100" w:type="dxa"/>
            </w:tcMar>
          </w:tcPr>
          <w:p>
            <w:pPr>
              <w:spacing w:before="0" w:after="0"/>
            </w:pPr>
            <w:r>
              <w:rPr>
                <w:rFonts w:ascii="Calibri" w:hAnsi="Calibri"/>
                <w:color w:val="1F2937"/>
                <w:sz w:val="19"/>
              </w:rPr>
              <w:t>MCIT Professional Competence Certificate (PCC) Digital Licensing Portal</w:t>
            </w:r>
          </w:p>
        </w:tc>
      </w:tr>
      <w:tr>
        <w:tc>
          <w:tcPr>
            <w:tcW w:type="dxa" w:w="3168"/>
            <w:shd w:fill="F8FAFC"/>
            <w:tcMar>
              <w:top w:w="60" w:type="dxa"/>
              <w:bottom w:w="60" w:type="dxa"/>
              <w:left w:w="100" w:type="dxa"/>
              <w:right w:w="100" w:type="dxa"/>
            </w:tcMar>
          </w:tcPr>
          <w:p>
            <w:pPr>
              <w:spacing w:before="0" w:after="0"/>
            </w:pPr>
            <w:r>
              <w:rPr>
                <w:rFonts w:ascii="Calibri" w:hAnsi="Calibri"/>
                <w:b/>
                <w:color w:val="0F6B4A"/>
                <w:sz w:val="19"/>
              </w:rPr>
              <w:t>Jurisdiction / Client</w:t>
            </w:r>
          </w:p>
        </w:tc>
        <w:tc>
          <w:tcPr>
            <w:tcW w:type="dxa" w:w="6192"/>
            <w:tcMar>
              <w:top w:w="60" w:type="dxa"/>
              <w:bottom w:w="60" w:type="dxa"/>
              <w:left w:w="100" w:type="dxa"/>
              <w:right w:w="100" w:type="dxa"/>
            </w:tcMar>
          </w:tcPr>
          <w:p>
            <w:pPr>
              <w:spacing w:before="0" w:after="0"/>
            </w:pPr>
            <w:r>
              <w:rPr>
                <w:rFonts w:ascii="Calibri" w:hAnsi="Calibri"/>
                <w:color w:val="1F2937"/>
                <w:sz w:val="19"/>
              </w:rPr>
              <w:t>Harari Regional State Innovation &amp; Technology Agency / Federal MCIT</w:t>
            </w:r>
          </w:p>
        </w:tc>
      </w:tr>
      <w:tr>
        <w:tc>
          <w:tcPr>
            <w:tcW w:type="dxa" w:w="3168"/>
            <w:shd w:fill="F8FAFC"/>
            <w:tcMar>
              <w:top w:w="60" w:type="dxa"/>
              <w:bottom w:w="60" w:type="dxa"/>
              <w:left w:w="100" w:type="dxa"/>
              <w:right w:w="100" w:type="dxa"/>
            </w:tcMar>
          </w:tcPr>
          <w:p>
            <w:pPr>
              <w:spacing w:before="0" w:after="0"/>
            </w:pPr>
            <w:r>
              <w:rPr>
                <w:rFonts w:ascii="Calibri" w:hAnsi="Calibri"/>
                <w:b/>
                <w:color w:val="0F6B4A"/>
                <w:sz w:val="19"/>
              </w:rPr>
              <w:t>Project Nature</w:t>
            </w:r>
          </w:p>
        </w:tc>
        <w:tc>
          <w:tcPr>
            <w:tcW w:type="dxa" w:w="6192"/>
            <w:tcMar>
              <w:top w:w="60" w:type="dxa"/>
              <w:bottom w:w="60" w:type="dxa"/>
              <w:left w:w="100" w:type="dxa"/>
              <w:right w:w="100" w:type="dxa"/>
            </w:tcMar>
          </w:tcPr>
          <w:p>
            <w:pPr>
              <w:spacing w:before="0" w:after="0"/>
            </w:pPr>
            <w:r>
              <w:rPr>
                <w:rFonts w:ascii="Calibri" w:hAnsi="Calibri"/>
                <w:color w:val="1F2937"/>
                <w:sz w:val="19"/>
              </w:rPr>
              <w:t>Software Engineering Internship / Production Portal Project</w:t>
            </w:r>
          </w:p>
        </w:tc>
      </w:tr>
      <w:tr>
        <w:tc>
          <w:tcPr>
            <w:tcW w:type="dxa" w:w="3168"/>
            <w:shd w:fill="F8FAFC"/>
            <w:tcMar>
              <w:top w:w="60" w:type="dxa"/>
              <w:bottom w:w="60" w:type="dxa"/>
              <w:left w:w="100" w:type="dxa"/>
              <w:right w:w="100" w:type="dxa"/>
            </w:tcMar>
          </w:tcPr>
          <w:p>
            <w:pPr>
              <w:spacing w:before="0" w:after="0"/>
            </w:pPr>
            <w:r>
              <w:rPr>
                <w:rFonts w:ascii="Calibri" w:hAnsi="Calibri"/>
                <w:b/>
                <w:color w:val="0F6B4A"/>
                <w:sz w:val="19"/>
              </w:rPr>
              <w:t>Monorepo Structure</w:t>
            </w:r>
          </w:p>
        </w:tc>
        <w:tc>
          <w:tcPr>
            <w:tcW w:type="dxa" w:w="6192"/>
            <w:tcMar>
              <w:top w:w="60" w:type="dxa"/>
              <w:bottom w:w="60" w:type="dxa"/>
              <w:left w:w="100" w:type="dxa"/>
              <w:right w:w="100" w:type="dxa"/>
            </w:tcMar>
          </w:tcPr>
          <w:p>
            <w:pPr>
              <w:spacing w:before="0" w:after="0"/>
            </w:pPr>
            <w:r>
              <w:rPr>
                <w:rFonts w:ascii="Calibri" w:hAnsi="Calibri"/>
                <w:color w:val="1F2937"/>
                <w:sz w:val="19"/>
              </w:rPr>
              <w:t>NPM Workspaces (@mcit/frontend &amp; @mcit/backend)</w:t>
            </w:r>
          </w:p>
        </w:tc>
      </w:tr>
      <w:tr>
        <w:tc>
          <w:tcPr>
            <w:tcW w:type="dxa" w:w="3168"/>
            <w:shd w:fill="F8FAFC"/>
            <w:tcMar>
              <w:top w:w="60" w:type="dxa"/>
              <w:bottom w:w="60" w:type="dxa"/>
              <w:left w:w="100" w:type="dxa"/>
              <w:right w:w="100" w:type="dxa"/>
            </w:tcMar>
          </w:tcPr>
          <w:p>
            <w:pPr>
              <w:spacing w:before="0" w:after="0"/>
            </w:pPr>
            <w:r>
              <w:rPr>
                <w:rFonts w:ascii="Calibri" w:hAnsi="Calibri"/>
                <w:b/>
                <w:color w:val="0F6B4A"/>
                <w:sz w:val="19"/>
              </w:rPr>
              <w:t>Core Tech Stack</w:t>
            </w:r>
          </w:p>
        </w:tc>
        <w:tc>
          <w:tcPr>
            <w:tcW w:type="dxa" w:w="6192"/>
            <w:tcMar>
              <w:top w:w="60" w:type="dxa"/>
              <w:bottom w:w="60" w:type="dxa"/>
              <w:left w:w="100" w:type="dxa"/>
              <w:right w:w="100" w:type="dxa"/>
            </w:tcMar>
          </w:tcPr>
          <w:p>
            <w:pPr>
              <w:spacing w:before="0" w:after="0"/>
            </w:pPr>
            <w:r>
              <w:rPr>
                <w:rFonts w:ascii="Calibri" w:hAnsi="Calibri"/>
                <w:color w:val="1F2937"/>
                <w:sz w:val="19"/>
              </w:rPr>
              <w:t>Next.js 16 (App Router), React 19, TypeScript 5, Express.js, Prisma ORM, PostgreSQL (Neon)</w:t>
            </w:r>
          </w:p>
        </w:tc>
      </w:tr>
      <w:tr>
        <w:tc>
          <w:tcPr>
            <w:tcW w:type="dxa" w:w="3168"/>
            <w:shd w:fill="F8FAFC"/>
            <w:tcMar>
              <w:top w:w="60" w:type="dxa"/>
              <w:bottom w:w="60" w:type="dxa"/>
              <w:left w:w="100" w:type="dxa"/>
              <w:right w:w="100" w:type="dxa"/>
            </w:tcMar>
          </w:tcPr>
          <w:p>
            <w:pPr>
              <w:spacing w:before="0" w:after="0"/>
            </w:pPr>
            <w:r>
              <w:rPr>
                <w:rFonts w:ascii="Calibri" w:hAnsi="Calibri"/>
                <w:b/>
                <w:color w:val="0F6B4A"/>
                <w:sz w:val="19"/>
              </w:rPr>
              <w:t>Document Purpose</w:t>
            </w:r>
          </w:p>
        </w:tc>
        <w:tc>
          <w:tcPr>
            <w:tcW w:type="dxa" w:w="6192"/>
            <w:tcMar>
              <w:top w:w="60" w:type="dxa"/>
              <w:bottom w:w="60" w:type="dxa"/>
              <w:left w:w="100" w:type="dxa"/>
              <w:right w:w="100" w:type="dxa"/>
            </w:tcMar>
          </w:tcPr>
          <w:p>
            <w:pPr>
              <w:spacing w:before="0" w:after="0"/>
            </w:pPr>
            <w:r>
              <w:rPr>
                <w:rFonts w:ascii="Calibri" w:hAnsi="Calibri"/>
                <w:color w:val="1F2937"/>
                <w:sz w:val="19"/>
              </w:rPr>
              <w:t>Comprehensive Technical Defense Guide for Academic Supervisors and Panel Examiners</w:t>
            </w:r>
          </w:p>
        </w:tc>
      </w:tr>
    </w:tbl>
    <w:p>
      <w:pPr>
        <w:spacing w:before="240" w:after="240"/>
      </w:pPr>
    </w:p>
    <w:p>
      <w:pPr>
        <w:keepNext/>
        <w:spacing w:before="360" w:after="120"/>
      </w:pPr>
      <w:r>
        <w:rPr>
          <w:rFonts w:ascii="Calibri" w:hAnsi="Calibri"/>
          <w:b/>
          <w:color w:val="0F6B4A"/>
          <w:sz w:val="32"/>
        </w:rPr>
        <w:t>1. Executive Summary &amp; Regulatory Context</w:t>
      </w:r>
    </w:p>
    <w:p>
      <w:pPr>
        <w:spacing w:before="0" w:after="100" w:line="276" w:lineRule="auto"/>
      </w:pPr>
      <w:r>
        <w:rPr>
          <w:rFonts w:ascii="Calibri" w:hAnsi="Calibri"/>
          <w:color w:val="1F2937"/>
          <w:sz w:val="21"/>
        </w:rPr>
        <w:t>The MCIT Professional Competence Certificate (PCC) Portal is an enterprise-grade, bilingual (Amharic and English with Afaan Oromoo support) web platform designed to streamline, digitize, and govern the issuance of official business licenses across the Information and Communications Technology (ICT) sector in Ethiopia, specifically implemented for the Harari Regional State.</w:t>
      </w:r>
    </w:p>
    <w:p>
      <w:pPr>
        <w:spacing w:before="0" w:after="100" w:line="276" w:lineRule="auto"/>
      </w:pPr>
      <w:r>
        <w:rPr>
          <w:rFonts w:ascii="Calibri" w:hAnsi="Calibri"/>
          <w:color w:val="1F2937"/>
          <w:sz w:val="21"/>
        </w:rPr>
        <w:t>Prior to this software, the licensing procedure required physical visits, paper-heavy documentation, manual physical verification of personnel and equipment, and vulnerable paper certificates that were prone to forgery. The portal completely transforms this workflow into a transparent, secure, and audited digital government (e-Gov) pipeline.</w:t>
      </w:r>
    </w:p>
    <w:tbl>
      <w:tblPr>
        <w:tblW w:type="auto" w:w="0"/>
        <w:jc w:val="center"/>
        <w:tblLook w:firstColumn="1" w:firstRow="1" w:lastColumn="0" w:lastRow="0" w:noHBand="0" w:noVBand="1" w:val="04A0"/>
      </w:tblPr>
      <w:tblGrid>
        <w:gridCol w:w="9360"/>
      </w:tblGrid>
      <w:tr>
        <w:tc>
          <w:tcPr>
            <w:tcW w:type="dxa" w:w="9360"/>
            <w:shd w:fill="F4F6F5"/>
            <w:tcMar>
              <w:top w:w="140" w:type="dxa"/>
              <w:bottom w:w="140" w:type="dxa"/>
              <w:left w:w="200" w:type="dxa"/>
              <w:right w:w="200" w:type="dxa"/>
            </w:tcMar>
            <w:tcBorders>
              <w:left w:val="single" w:sz="24" w:space="0" w:color="0F6B4A"/>
              <w:top w:val="none"/>
              <w:right w:val="none"/>
              <w:bottom w:val="none"/>
            </w:tcBorders>
          </w:tcPr>
          <w:p>
            <w:pPr>
              <w:spacing w:before="40" w:after="80"/>
            </w:pPr>
            <w:r>
              <w:rPr>
                <w:rFonts w:ascii="Calibri" w:hAnsi="Calibri"/>
                <w:b/>
                <w:color w:val="0F6B4A"/>
                <w:sz w:val="22"/>
              </w:rPr>
              <w:t>Legal &amp; Regulatory Foundation</w:t>
              <w:br/>
            </w:r>
            <w:r>
              <w:rPr>
                <w:rFonts w:ascii="Calibri" w:hAnsi="Calibri"/>
                <w:color w:val="1F2937"/>
                <w:sz w:val="20"/>
              </w:rPr>
              <w:t>• Proclamation No. 686/2002: Commercial Registration and Business Licensing Proclamation of Ethiopia, Article 30(3), mandating professional competence verification prior to commercial registration.</w:t>
              <w:br/>
              <w:t>• Directive No. 1/2007: Issued by the Ministry of Communication and Information Technology (MCIT), establishing technical requirements (personnel, facility, equipment, and legal documents) across 28 distinct ICT license categories.</w:t>
              <w:br/>
              <w:t>• Digital ID Proclamation (Fayda): Compliance with the national 16-digit digital identification standard for applicant identity verification.</w:t>
            </w:r>
          </w:p>
        </w:tc>
      </w:tr>
    </w:tbl>
    <w:p>
      <w:pPr>
        <w:spacing w:before="0" w:after="80"/>
      </w:pPr>
    </w:p>
    <w:p>
      <w:pPr>
        <w:keepNext/>
        <w:spacing w:before="260" w:after="80"/>
      </w:pPr>
      <w:r>
        <w:rPr>
          <w:rFonts w:ascii="Calibri" w:hAnsi="Calibri"/>
          <w:b/>
          <w:color w:val="C89B3C"/>
          <w:sz w:val="26"/>
        </w:rPr>
        <w:t>1.1 Key Stakeholder Personas &amp; Authorization Matrix</w:t>
      </w:r>
    </w:p>
    <w:p>
      <w:pPr>
        <w:spacing w:before="0" w:after="100" w:line="276" w:lineRule="auto"/>
      </w:pPr>
      <w:r>
        <w:rPr>
          <w:rFonts w:ascii="Calibri" w:hAnsi="Calibri"/>
          <w:color w:val="1F2937"/>
          <w:sz w:val="21"/>
        </w:rPr>
        <w:t>The platform caters to three primary roles with strict Role-Based Access Control (RBAC):</w:t>
      </w:r>
    </w:p>
    <w:p>
      <w:pPr>
        <w:pStyle w:val="ListBullet"/>
        <w:spacing w:before="0" w:after="60" w:line="269" w:lineRule="auto"/>
        <w:ind w:left="360"/>
      </w:pPr>
      <w:r>
        <w:rPr>
          <w:rFonts w:ascii="Calibri" w:hAnsi="Calibri"/>
          <w:b/>
          <w:color w:val="1F2937"/>
          <w:sz w:val="21"/>
        </w:rPr>
        <w:t xml:space="preserve">Applicant (Citizen / Business Owner): </w:t>
      </w:r>
      <w:r>
        <w:rPr>
          <w:rFonts w:ascii="Calibri" w:hAnsi="Calibri"/>
          <w:color w:val="1F2937"/>
          <w:sz w:val="21"/>
        </w:rPr>
        <w:t>Business owners, startups, or IT consultants submitting applications for competence certificates. They register, track status in real-time, view feedback, and download digitally signed certificates upon approval.</w:t>
      </w:r>
    </w:p>
    <w:p>
      <w:pPr>
        <w:pStyle w:val="ListBullet"/>
        <w:spacing w:before="0" w:after="60" w:line="269" w:lineRule="auto"/>
        <w:ind w:left="360"/>
      </w:pPr>
      <w:r>
        <w:rPr>
          <w:rFonts w:ascii="Calibri" w:hAnsi="Calibri"/>
          <w:b/>
          <w:color w:val="1F2937"/>
          <w:sz w:val="21"/>
        </w:rPr>
        <w:t xml:space="preserve">Reviewer / Regional Admin (MCIT Staff): </w:t>
      </w:r>
      <w:r>
        <w:rPr>
          <w:rFonts w:ascii="Calibri" w:hAnsi="Calibri"/>
          <w:color w:val="1F2937"/>
          <w:sz w:val="21"/>
        </w:rPr>
        <w:t>Regional technical officers who inspect submitted documents, verify equipment/personnel checklist readiness, leave internal inspection notes, and mark applications as 'Reviewed' for super admin approval.</w:t>
      </w:r>
    </w:p>
    <w:p>
      <w:pPr>
        <w:pStyle w:val="ListBullet"/>
        <w:spacing w:before="0" w:after="60" w:line="269" w:lineRule="auto"/>
        <w:ind w:left="360"/>
      </w:pPr>
      <w:r>
        <w:rPr>
          <w:rFonts w:ascii="Calibri" w:hAnsi="Calibri"/>
          <w:b/>
          <w:color w:val="1F2937"/>
          <w:sz w:val="21"/>
        </w:rPr>
        <w:t xml:space="preserve">Super Administrator (Regional Bureau Chief): </w:t>
      </w:r>
      <w:r>
        <w:rPr>
          <w:rFonts w:ascii="Calibri" w:hAnsi="Calibri"/>
          <w:color w:val="1F2937"/>
          <w:sz w:val="21"/>
        </w:rPr>
        <w:t>High-ranking regional executive or minister who retains the exclusive statutory power to grant final 'Approved' status, reject applications with legally mandated justification, revoke licenses, manage regional digital signatures and official stamps, and audit all system logs.</w:t>
      </w:r>
    </w:p>
    <w:p>
      <w:pPr>
        <w:pStyle w:val="ListBullet"/>
        <w:spacing w:before="0" w:after="60" w:line="269" w:lineRule="auto"/>
        <w:ind w:left="360"/>
      </w:pPr>
      <w:r>
        <w:rPr>
          <w:rFonts w:ascii="Calibri" w:hAnsi="Calibri"/>
          <w:b/>
          <w:color w:val="1F2937"/>
          <w:sz w:val="21"/>
        </w:rPr>
        <w:t xml:space="preserve">Public / External Verifier: </w:t>
      </w:r>
      <w:r>
        <w:rPr>
          <w:rFonts w:ascii="Calibri" w:hAnsi="Calibri"/>
          <w:color w:val="1F2937"/>
          <w:sz w:val="21"/>
        </w:rPr>
        <w:t>Any government inspector, police officer, or bank clerk who scans the dynamic QR code on a printed or digital certificate to instantly verify authenticity via the public verification endpoint.</w:t>
      </w:r>
    </w:p>
    <w:p>
      <w:pPr>
        <w:keepNext/>
        <w:spacing w:before="360" w:after="120"/>
      </w:pPr>
      <w:r>
        <w:rPr>
          <w:rFonts w:ascii="Calibri" w:hAnsi="Calibri"/>
          <w:b/>
          <w:color w:val="0F6B4A"/>
          <w:sz w:val="32"/>
        </w:rPr>
        <w:t>2. System Architecture &amp; Monorepo Topology</w:t>
      </w:r>
    </w:p>
    <w:p>
      <w:pPr>
        <w:spacing w:before="0" w:after="100" w:line="276" w:lineRule="auto"/>
      </w:pPr>
      <w:r>
        <w:rPr>
          <w:rFonts w:ascii="Calibri" w:hAnsi="Calibri"/>
          <w:color w:val="1F2937"/>
          <w:sz w:val="21"/>
        </w:rPr>
        <w:t>The project is architected as an npm workspaces Monorepo, decoupling the presentation layer (Frontend) from the data and business logic layer (Backend) while maintaining shared configuration, unified scripts, and atomic deployments from a single Git repository.</w:t>
      </w:r>
    </w:p>
    <w:p>
      <w:pPr>
        <w:keepNext/>
        <w:spacing w:before="260" w:after="80"/>
      </w:pPr>
      <w:r>
        <w:rPr>
          <w:rFonts w:ascii="Calibri" w:hAnsi="Calibri"/>
          <w:b/>
          <w:color w:val="C89B3C"/>
          <w:sz w:val="26"/>
        </w:rPr>
        <w:t>2.1 High-Level Component Interaction Diagram</w:t>
      </w:r>
    </w:p>
    <w:tbl>
      <w:tblPr>
        <w:tblW w:type="auto" w:w="0"/>
        <w:jc w:val="center"/>
        <w:tblLook w:firstColumn="1" w:firstRow="1" w:lastColumn="0" w:lastRow="0" w:noHBand="0" w:noVBand="1" w:val="04A0"/>
      </w:tblPr>
      <w:tblGrid>
        <w:gridCol w:w="9360"/>
      </w:tblGrid>
      <w:tr>
        <w:tc>
          <w:tcPr>
            <w:tcW w:type="dxa" w:w="9360"/>
            <w:shd w:fill="F4F6F5"/>
            <w:tcMar>
              <w:top w:w="140" w:type="dxa"/>
              <w:bottom w:w="140" w:type="dxa"/>
              <w:left w:w="200" w:type="dxa"/>
              <w:right w:w="200" w:type="dxa"/>
            </w:tcMar>
            <w:tcBorders>
              <w:left w:val="single" w:sz="24" w:space="0" w:color="0F6B4A"/>
              <w:top w:val="none"/>
              <w:right w:val="none"/>
              <w:bottom w:val="none"/>
            </w:tcBorders>
          </w:tcPr>
          <w:p>
            <w:pPr>
              <w:spacing w:before="40" w:after="80"/>
            </w:pPr>
            <w:r>
              <w:rPr>
                <w:rFonts w:ascii="Calibri" w:hAnsi="Calibri"/>
                <w:b/>
                <w:color w:val="0F6B4A"/>
                <w:sz w:val="22"/>
              </w:rPr>
              <w:t>Architectural Data Flow</w:t>
              <w:br/>
            </w:r>
            <w:r>
              <w:rPr>
                <w:rFonts w:ascii="Calibri" w:hAnsi="Calibri"/>
                <w:color w:val="1F2937"/>
                <w:sz w:val="20"/>
              </w:rPr>
              <w:t>[Client Browser: React 19 / Next.js 16 (Port 3000)]</w:t>
              <w:br/>
              <w:t xml:space="preserve">      │</w:t>
              <w:br/>
              <w:t xml:space="preserve">      │ (1) HTTP Requests to same origin: /api/* and /uploads/*</w:t>
              <w:br/>
              <w:t xml:space="preserve">      ▼</w:t>
              <w:br/>
              <w:t>[Next.js Reverse Proxy (next.config.ts rewrites)]</w:t>
              <w:br/>
              <w:t xml:space="preserve">      │</w:t>
              <w:br/>
              <w:t xml:space="preserve">      │ (2) Internal Proxied Dispatch (Avoids CORS issues)</w:t>
              <w:br/>
              <w:t xml:space="preserve">      ▼</w:t>
              <w:br/>
              <w:t>[Express.js API Engine: TypeScript (Port 5000)]</w:t>
              <w:br/>
              <w:t xml:space="preserve">      ├── Middleware Pipeline: CORS, JSON (50MB), extractActor, RBAC guards</w:t>
              <w:br/>
              <w:t xml:space="preserve">      ├── Security Engine: PBKDF2 Password Hasher, Sliding-Window Rate Limiter</w:t>
              <w:br/>
              <w:t xml:space="preserve">      └── Route Controllers: /api/auth, /api/applications, /api/verify, etc.</w:t>
              <w:br/>
              <w:t xml:space="preserve">      │</w:t>
              <w:br/>
              <w:t xml:space="preserve">      │ (3) Type-Safe Query Execution (Prisma ORM Client)</w:t>
              <w:br/>
              <w:t xml:space="preserve">      ▼</w:t>
              <w:br/>
              <w:t>[PostgreSQL Database (Neon Cloud Relational DB Engine)]</w:t>
              <w:br/>
              <w:t xml:space="preserve">      └── Relational Models: User, Application, News, Notification, AuditLog</w:t>
            </w:r>
          </w:p>
        </w:tc>
      </w:tr>
    </w:tbl>
    <w:p>
      <w:pPr>
        <w:spacing w:before="0" w:after="80"/>
      </w:pPr>
    </w:p>
    <w:p>
      <w:pPr>
        <w:keepNext/>
        <w:spacing w:before="260" w:after="80"/>
      </w:pPr>
      <w:r>
        <w:rPr>
          <w:rFonts w:ascii="Calibri" w:hAnsi="Calibri"/>
          <w:b/>
          <w:color w:val="C89B3C"/>
          <w:sz w:val="26"/>
        </w:rPr>
        <w:t>2.2 Repository Directory Anatomy</w:t>
      </w:r>
    </w:p>
    <w:p>
      <w:pPr>
        <w:spacing w:before="0" w:after="100" w:line="276" w:lineRule="auto"/>
      </w:pPr>
      <w:r>
        <w:rPr>
          <w:rFonts w:ascii="Calibri" w:hAnsi="Calibri"/>
          <w:color w:val="1F2937"/>
          <w:sz w:val="21"/>
        </w:rPr>
        <w:t>The following directory layout defines where each software layer resides: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c>
          <w:tcPr>
            <w:tcW w:type="dxa" w:w="3600"/>
            <w:tcMar>
              <w:top w:w="60" w:type="dxa"/>
              <w:bottom w:w="60" w:type="dxa"/>
              <w:left w:w="100" w:type="dxa"/>
              <w:right w:w="100" w:type="dxa"/>
            </w:tcMar>
            <w:shd w:fill="0F6B4A"/>
          </w:tcPr>
          <w:p>
            <w:pPr>
              <w:spacing w:before="0" w:after="0"/>
            </w:pPr>
            <w:r>
              <w:rPr>
                <w:rFonts w:ascii="Calibri" w:hAnsi="Calibri"/>
                <w:b/>
                <w:color w:val="FFFFFF"/>
                <w:sz w:val="20"/>
              </w:rPr>
              <w:t>Directory / File Path</w:t>
            </w:r>
          </w:p>
        </w:tc>
        <w:tc>
          <w:tcPr>
            <w:tcW w:type="dxa" w:w="5760"/>
            <w:tcMar>
              <w:top w:w="60" w:type="dxa"/>
              <w:bottom w:w="60" w:type="dxa"/>
              <w:left w:w="100" w:type="dxa"/>
              <w:right w:w="100" w:type="dxa"/>
            </w:tcMar>
            <w:shd w:fill="0F6B4A"/>
          </w:tcPr>
          <w:p>
            <w:pPr>
              <w:spacing w:before="0" w:after="0"/>
            </w:pPr>
            <w:r>
              <w:rPr>
                <w:rFonts w:ascii="Calibri" w:hAnsi="Calibri"/>
                <w:b/>
                <w:color w:val="FFFFFF"/>
                <w:sz w:val="20"/>
              </w:rPr>
              <w:t>Role &amp; Engineering Responsibility</w:t>
            </w:r>
          </w:p>
        </w:tc>
      </w:tr>
      <w:tr>
        <w:tc>
          <w:tcPr>
            <w:tcW w:type="dxa" w:w="3600"/>
            <w:tcMar>
              <w:top w:w="60" w:type="dxa"/>
              <w:bottom w:w="60" w:type="dxa"/>
              <w:left w:w="100" w:type="dxa"/>
              <w:right w:w="100" w:type="dxa"/>
            </w:tcMar>
            <w:shd w:fill="F8FAFC"/>
          </w:tcPr>
          <w:p>
            <w:pPr>
              <w:spacing w:before="0" w:after="0"/>
            </w:pPr>
            <w:r>
              <w:rPr>
                <w:rFonts w:ascii="Calibri" w:hAnsi="Calibri"/>
                <w:b/>
                <w:color w:val="1F2937"/>
                <w:sz w:val="19"/>
              </w:rPr>
              <w:t>package.json (Root)</w:t>
            </w:r>
          </w:p>
        </w:tc>
        <w:tc>
          <w:tcPr>
            <w:tcW w:type="dxa" w:w="5760"/>
            <w:tcMar>
              <w:top w:w="60" w:type="dxa"/>
              <w:bottom w:w="60" w:type="dxa"/>
              <w:left w:w="100" w:type="dxa"/>
              <w:right w:w="100" w:type="dxa"/>
            </w:tcMar>
            <w:shd w:fill="F8FAFC"/>
          </w:tcPr>
          <w:p>
            <w:pPr>
              <w:spacing w:before="0" w:after="0"/>
            </w:pPr>
            <w:r>
              <w:rPr>
                <w:rFonts w:ascii="Calibri" w:hAnsi="Calibri"/>
                <w:b w:val="0"/>
                <w:color w:val="1F2937"/>
                <w:sz w:val="19"/>
              </w:rPr>
              <w:t>Monorepo workspace orchestrator running concurrent builds and dev servers.</w:t>
            </w:r>
          </w:p>
        </w:tc>
      </w:tr>
      <w:tr>
        <w:tc>
          <w:tcPr>
            <w:tcW w:type="dxa" w:w="3600"/>
            <w:tcMar>
              <w:top w:w="60" w:type="dxa"/>
              <w:bottom w:w="60" w:type="dxa"/>
              <w:left w:w="100" w:type="dxa"/>
              <w:right w:w="100" w:type="dxa"/>
            </w:tcMar>
            <w:shd w:fill="FFFFFF"/>
          </w:tcPr>
          <w:p>
            <w:pPr>
              <w:spacing w:before="0" w:after="0"/>
            </w:pPr>
            <w:r>
              <w:rPr>
                <w:rFonts w:ascii="Calibri" w:hAnsi="Calibri"/>
                <w:b/>
                <w:color w:val="1F2937"/>
                <w:sz w:val="19"/>
              </w:rPr>
              <w:t>frontend/src/app/page.tsx</w:t>
            </w:r>
          </w:p>
        </w:tc>
        <w:tc>
          <w:tcPr>
            <w:tcW w:type="dxa" w:w="5760"/>
            <w:tcMar>
              <w:top w:w="60" w:type="dxa"/>
              <w:bottom w:w="60" w:type="dxa"/>
              <w:left w:w="100" w:type="dxa"/>
              <w:right w:w="100" w:type="dxa"/>
            </w:tcMar>
            <w:shd w:fill="FFFFFF"/>
          </w:tcPr>
          <w:p>
            <w:pPr>
              <w:spacing w:before="0" w:after="0"/>
            </w:pPr>
            <w:r>
              <w:rPr>
                <w:rFonts w:ascii="Calibri" w:hAnsi="Calibri"/>
                <w:b w:val="0"/>
                <w:color w:val="1F2937"/>
                <w:sz w:val="19"/>
              </w:rPr>
              <w:t>Central client router rendering public portal views, splash loader, and admin portal.</w:t>
            </w:r>
          </w:p>
        </w:tc>
      </w:tr>
      <w:tr>
        <w:tc>
          <w:tcPr>
            <w:tcW w:type="dxa" w:w="3600"/>
            <w:tcMar>
              <w:top w:w="60" w:type="dxa"/>
              <w:bottom w:w="60" w:type="dxa"/>
              <w:left w:w="100" w:type="dxa"/>
              <w:right w:w="100" w:type="dxa"/>
            </w:tcMar>
            <w:shd w:fill="F8FAFC"/>
          </w:tcPr>
          <w:p>
            <w:pPr>
              <w:spacing w:before="0" w:after="0"/>
            </w:pPr>
            <w:r>
              <w:rPr>
                <w:rFonts w:ascii="Calibri" w:hAnsi="Calibri"/>
                <w:b/>
                <w:color w:val="1F2937"/>
                <w:sz w:val="19"/>
              </w:rPr>
              <w:t>frontend/src/app/layout.tsx</w:t>
            </w:r>
          </w:p>
        </w:tc>
        <w:tc>
          <w:tcPr>
            <w:tcW w:type="dxa" w:w="5760"/>
            <w:tcMar>
              <w:top w:w="60" w:type="dxa"/>
              <w:bottom w:w="60" w:type="dxa"/>
              <w:left w:w="100" w:type="dxa"/>
              <w:right w:w="100" w:type="dxa"/>
            </w:tcMar>
            <w:shd w:fill="F8FAFC"/>
          </w:tcPr>
          <w:p>
            <w:pPr>
              <w:spacing w:before="0" w:after="0"/>
            </w:pPr>
            <w:r>
              <w:rPr>
                <w:rFonts w:ascii="Calibri" w:hAnsi="Calibri"/>
                <w:b w:val="0"/>
                <w:color w:val="1F2937"/>
                <w:sz w:val="19"/>
              </w:rPr>
              <w:t>Root layout injecting Google Fonts (Noto Sans Ethiopic for Ge'ez script) and Sonner toasts.</w:t>
            </w:r>
          </w:p>
        </w:tc>
      </w:tr>
      <w:tr>
        <w:tc>
          <w:tcPr>
            <w:tcW w:type="dxa" w:w="3600"/>
            <w:tcMar>
              <w:top w:w="60" w:type="dxa"/>
              <w:bottom w:w="60" w:type="dxa"/>
              <w:left w:w="100" w:type="dxa"/>
              <w:right w:w="100" w:type="dxa"/>
            </w:tcMar>
            <w:shd w:fill="FFFFFF"/>
          </w:tcPr>
          <w:p>
            <w:pPr>
              <w:spacing w:before="0" w:after="0"/>
            </w:pPr>
            <w:r>
              <w:rPr>
                <w:rFonts w:ascii="Calibri" w:hAnsi="Calibri"/>
                <w:b/>
                <w:color w:val="1F2937"/>
                <w:sz w:val="19"/>
              </w:rPr>
              <w:t>frontend/src/app/verify/page.tsx</w:t>
            </w:r>
          </w:p>
        </w:tc>
        <w:tc>
          <w:tcPr>
            <w:tcW w:type="dxa" w:w="5760"/>
            <w:tcMar>
              <w:top w:w="60" w:type="dxa"/>
              <w:bottom w:w="60" w:type="dxa"/>
              <w:left w:w="100" w:type="dxa"/>
              <w:right w:w="100" w:type="dxa"/>
            </w:tcMar>
            <w:shd w:fill="FFFFFF"/>
          </w:tcPr>
          <w:p>
            <w:pPr>
              <w:spacing w:before="0" w:after="0"/>
            </w:pPr>
            <w:r>
              <w:rPr>
                <w:rFonts w:ascii="Calibri" w:hAnsi="Calibri"/>
                <w:b w:val="0"/>
                <w:color w:val="1F2937"/>
                <w:sz w:val="19"/>
              </w:rPr>
              <w:t>Public-facing certificate verification page accessed via QR code scanning.</w:t>
            </w:r>
          </w:p>
        </w:tc>
      </w:tr>
      <w:tr>
        <w:tc>
          <w:tcPr>
            <w:tcW w:type="dxa" w:w="3600"/>
            <w:tcMar>
              <w:top w:w="60" w:type="dxa"/>
              <w:bottom w:w="60" w:type="dxa"/>
              <w:left w:w="100" w:type="dxa"/>
              <w:right w:w="100" w:type="dxa"/>
            </w:tcMar>
            <w:shd w:fill="F8FAFC"/>
          </w:tcPr>
          <w:p>
            <w:pPr>
              <w:spacing w:before="0" w:after="0"/>
            </w:pPr>
            <w:r>
              <w:rPr>
                <w:rFonts w:ascii="Calibri" w:hAnsi="Calibri"/>
                <w:b/>
                <w:color w:val="1F2937"/>
                <w:sz w:val="19"/>
              </w:rPr>
              <w:t>frontend/src/components/portal/</w:t>
            </w:r>
          </w:p>
        </w:tc>
        <w:tc>
          <w:tcPr>
            <w:tcW w:type="dxa" w:w="5760"/>
            <w:tcMar>
              <w:top w:w="60" w:type="dxa"/>
              <w:bottom w:w="60" w:type="dxa"/>
              <w:left w:w="100" w:type="dxa"/>
              <w:right w:w="100" w:type="dxa"/>
            </w:tcMar>
            <w:shd w:fill="F8FAFC"/>
          </w:tcPr>
          <w:p>
            <w:pPr>
              <w:spacing w:before="0" w:after="0"/>
            </w:pPr>
            <w:r>
              <w:rPr>
                <w:rFonts w:ascii="Calibri" w:hAnsi="Calibri"/>
                <w:b w:val="0"/>
                <w:color w:val="1F2937"/>
                <w:sz w:val="19"/>
              </w:rPr>
              <w:t>Public portal views: Home, Categories, Detail, Apply form, Certificate generator, Auth.</w:t>
            </w:r>
          </w:p>
        </w:tc>
      </w:tr>
      <w:tr>
        <w:tc>
          <w:tcPr>
            <w:tcW w:type="dxa" w:w="3600"/>
            <w:tcMar>
              <w:top w:w="60" w:type="dxa"/>
              <w:bottom w:w="60" w:type="dxa"/>
              <w:left w:w="100" w:type="dxa"/>
              <w:right w:w="100" w:type="dxa"/>
            </w:tcMar>
            <w:shd w:fill="FFFFFF"/>
          </w:tcPr>
          <w:p>
            <w:pPr>
              <w:spacing w:before="0" w:after="0"/>
            </w:pPr>
            <w:r>
              <w:rPr>
                <w:rFonts w:ascii="Calibri" w:hAnsi="Calibri"/>
                <w:b/>
                <w:color w:val="1F2937"/>
                <w:sz w:val="19"/>
              </w:rPr>
              <w:t>frontend/src/components/admin/</w:t>
            </w:r>
          </w:p>
        </w:tc>
        <w:tc>
          <w:tcPr>
            <w:tcW w:type="dxa" w:w="5760"/>
            <w:tcMar>
              <w:top w:w="60" w:type="dxa"/>
              <w:bottom w:w="60" w:type="dxa"/>
              <w:left w:w="100" w:type="dxa"/>
              <w:right w:w="100" w:type="dxa"/>
            </w:tcMar>
            <w:shd w:fill="FFFFFF"/>
          </w:tcPr>
          <w:p>
            <w:pPr>
              <w:spacing w:before="0" w:after="0"/>
            </w:pPr>
            <w:r>
              <w:rPr>
                <w:rFonts w:ascii="Calibri" w:hAnsi="Calibri"/>
                <w:b w:val="0"/>
                <w:color w:val="1F2937"/>
                <w:sz w:val="19"/>
              </w:rPr>
              <w:t>Administrative views: Dashboard analytics, Application reviewer, User management, News CMS.</w:t>
            </w:r>
          </w:p>
        </w:tc>
      </w:tr>
      <w:tr>
        <w:tc>
          <w:tcPr>
            <w:tcW w:type="dxa" w:w="3600"/>
            <w:tcMar>
              <w:top w:w="60" w:type="dxa"/>
              <w:bottom w:w="60" w:type="dxa"/>
              <w:left w:w="100" w:type="dxa"/>
              <w:right w:w="100" w:type="dxa"/>
            </w:tcMar>
            <w:shd w:fill="F8FAFC"/>
          </w:tcPr>
          <w:p>
            <w:pPr>
              <w:spacing w:before="0" w:after="0"/>
            </w:pPr>
            <w:r>
              <w:rPr>
                <w:rFonts w:ascii="Calibri" w:hAnsi="Calibri"/>
                <w:b/>
                <w:color w:val="1F2937"/>
                <w:sz w:val="19"/>
              </w:rPr>
              <w:t>frontend/src/lib/store.ts</w:t>
            </w:r>
          </w:p>
        </w:tc>
        <w:tc>
          <w:tcPr>
            <w:tcW w:type="dxa" w:w="5760"/>
            <w:tcMar>
              <w:top w:w="60" w:type="dxa"/>
              <w:bottom w:w="60" w:type="dxa"/>
              <w:left w:w="100" w:type="dxa"/>
              <w:right w:w="100" w:type="dxa"/>
            </w:tcMar>
            <w:shd w:fill="F8FAFC"/>
          </w:tcPr>
          <w:p>
            <w:pPr>
              <w:spacing w:before="0" w:after="0"/>
            </w:pPr>
            <w:r>
              <w:rPr>
                <w:rFonts w:ascii="Calibri" w:hAnsi="Calibri"/>
                <w:b w:val="0"/>
                <w:color w:val="1F2937"/>
                <w:sz w:val="19"/>
              </w:rPr>
              <w:t>Zustand state store managing client routing, language toggle, and authentication session.</w:t>
            </w:r>
          </w:p>
        </w:tc>
      </w:tr>
      <w:tr>
        <w:tc>
          <w:tcPr>
            <w:tcW w:type="dxa" w:w="3600"/>
            <w:tcMar>
              <w:top w:w="60" w:type="dxa"/>
              <w:bottom w:w="60" w:type="dxa"/>
              <w:left w:w="100" w:type="dxa"/>
              <w:right w:w="100" w:type="dxa"/>
            </w:tcMar>
            <w:shd w:fill="FFFFFF"/>
          </w:tcPr>
          <w:p>
            <w:pPr>
              <w:spacing w:before="0" w:after="0"/>
            </w:pPr>
            <w:r>
              <w:rPr>
                <w:rFonts w:ascii="Calibri" w:hAnsi="Calibri"/>
                <w:b/>
                <w:color w:val="1F2937"/>
                <w:sz w:val="19"/>
              </w:rPr>
              <w:t>backend/src/server.ts</w:t>
            </w:r>
          </w:p>
        </w:tc>
        <w:tc>
          <w:tcPr>
            <w:tcW w:type="dxa" w:w="5760"/>
            <w:tcMar>
              <w:top w:w="60" w:type="dxa"/>
              <w:bottom w:w="60" w:type="dxa"/>
              <w:left w:w="100" w:type="dxa"/>
              <w:right w:w="100" w:type="dxa"/>
            </w:tcMar>
            <w:shd w:fill="FFFFFF"/>
          </w:tcPr>
          <w:p>
            <w:pPr>
              <w:spacing w:before="0" w:after="0"/>
            </w:pPr>
            <w:r>
              <w:rPr>
                <w:rFonts w:ascii="Calibri" w:hAnsi="Calibri"/>
                <w:b w:val="0"/>
                <w:color w:val="1F2937"/>
                <w:sz w:val="19"/>
              </w:rPr>
              <w:t>Express REST API entry point configuring middleware, static uploads, and router mounts.</w:t>
            </w:r>
          </w:p>
        </w:tc>
      </w:tr>
      <w:tr>
        <w:tc>
          <w:tcPr>
            <w:tcW w:type="dxa" w:w="3600"/>
            <w:tcMar>
              <w:top w:w="60" w:type="dxa"/>
              <w:bottom w:w="60" w:type="dxa"/>
              <w:left w:w="100" w:type="dxa"/>
              <w:right w:w="100" w:type="dxa"/>
            </w:tcMar>
            <w:shd w:fill="F8FAFC"/>
          </w:tcPr>
          <w:p>
            <w:pPr>
              <w:spacing w:before="0" w:after="0"/>
            </w:pPr>
            <w:r>
              <w:rPr>
                <w:rFonts w:ascii="Calibri" w:hAnsi="Calibri"/>
                <w:b/>
                <w:color w:val="1F2937"/>
                <w:sz w:val="19"/>
              </w:rPr>
              <w:t>backend/src/routes/</w:t>
            </w:r>
          </w:p>
        </w:tc>
        <w:tc>
          <w:tcPr>
            <w:tcW w:type="dxa" w:w="5760"/>
            <w:tcMar>
              <w:top w:w="60" w:type="dxa"/>
              <w:bottom w:w="60" w:type="dxa"/>
              <w:left w:w="100" w:type="dxa"/>
              <w:right w:w="100" w:type="dxa"/>
            </w:tcMar>
            <w:shd w:fill="F8FAFC"/>
          </w:tcPr>
          <w:p>
            <w:pPr>
              <w:spacing w:before="0" w:after="0"/>
            </w:pPr>
            <w:r>
              <w:rPr>
                <w:rFonts w:ascii="Calibri" w:hAnsi="Calibri"/>
                <w:b w:val="0"/>
                <w:color w:val="1F2937"/>
                <w:sz w:val="19"/>
              </w:rPr>
              <w:t>Modular REST endpoints: auth.ts, applications.ts, users.ts, verify.ts, metrics.ts, audit.ts.</w:t>
            </w:r>
          </w:p>
        </w:tc>
      </w:tr>
      <w:tr>
        <w:tc>
          <w:tcPr>
            <w:tcW w:type="dxa" w:w="3600"/>
            <w:tcMar>
              <w:top w:w="60" w:type="dxa"/>
              <w:bottom w:w="60" w:type="dxa"/>
              <w:left w:w="100" w:type="dxa"/>
              <w:right w:w="100" w:type="dxa"/>
            </w:tcMar>
            <w:shd w:fill="FFFFFF"/>
          </w:tcPr>
          <w:p>
            <w:pPr>
              <w:spacing w:before="0" w:after="0"/>
            </w:pPr>
            <w:r>
              <w:rPr>
                <w:rFonts w:ascii="Calibri" w:hAnsi="Calibri"/>
                <w:b/>
                <w:color w:val="1F2937"/>
                <w:sz w:val="19"/>
              </w:rPr>
              <w:t>backend/src/lib/</w:t>
            </w:r>
          </w:p>
        </w:tc>
        <w:tc>
          <w:tcPr>
            <w:tcW w:type="dxa" w:w="5760"/>
            <w:tcMar>
              <w:top w:w="60" w:type="dxa"/>
              <w:bottom w:w="60" w:type="dxa"/>
              <w:left w:w="100" w:type="dxa"/>
              <w:right w:w="100" w:type="dxa"/>
            </w:tcMar>
            <w:shd w:fill="FFFFFF"/>
          </w:tcPr>
          <w:p>
            <w:pPr>
              <w:spacing w:before="0" w:after="0"/>
            </w:pPr>
            <w:r>
              <w:rPr>
                <w:rFonts w:ascii="Calibri" w:hAnsi="Calibri"/>
                <w:b w:val="0"/>
                <w:color w:val="1F2937"/>
                <w:sz w:val="19"/>
              </w:rPr>
              <w:t>Security &amp; infrastructure: password.ts (PBKDF2), rate-limit.ts, audit.ts, db.ts (Prisma).</w:t>
            </w:r>
          </w:p>
        </w:tc>
      </w:tr>
      <w:tr>
        <w:tc>
          <w:tcPr>
            <w:tcW w:type="dxa" w:w="3600"/>
            <w:tcMar>
              <w:top w:w="60" w:type="dxa"/>
              <w:bottom w:w="60" w:type="dxa"/>
              <w:left w:w="100" w:type="dxa"/>
              <w:right w:w="100" w:type="dxa"/>
            </w:tcMar>
            <w:shd w:fill="F8FAFC"/>
          </w:tcPr>
          <w:p>
            <w:pPr>
              <w:spacing w:before="0" w:after="0"/>
            </w:pPr>
            <w:r>
              <w:rPr>
                <w:rFonts w:ascii="Calibri" w:hAnsi="Calibri"/>
                <w:b/>
                <w:color w:val="1F2937"/>
                <w:sz w:val="19"/>
              </w:rPr>
              <w:t>backend/prisma/schema.prisma</w:t>
            </w:r>
          </w:p>
        </w:tc>
        <w:tc>
          <w:tcPr>
            <w:tcW w:type="dxa" w:w="5760"/>
            <w:tcMar>
              <w:top w:w="60" w:type="dxa"/>
              <w:bottom w:w="60" w:type="dxa"/>
              <w:left w:w="100" w:type="dxa"/>
              <w:right w:w="100" w:type="dxa"/>
            </w:tcMar>
            <w:shd w:fill="F8FAFC"/>
          </w:tcPr>
          <w:p>
            <w:pPr>
              <w:spacing w:before="0" w:after="0"/>
            </w:pPr>
            <w:r>
              <w:rPr>
                <w:rFonts w:ascii="Calibri" w:hAnsi="Calibri"/>
                <w:b w:val="0"/>
                <w:color w:val="1F2937"/>
                <w:sz w:val="19"/>
              </w:rPr>
              <w:t>Declarative PostgreSQL schema defining tables, relations, indexes, and constraints.</w:t>
            </w:r>
          </w:p>
        </w:tc>
      </w:tr>
    </w:tbl>
    <w:p>
      <w:pPr>
        <w:spacing w:after="160"/>
      </w:pPr>
    </w:p>
    <w:p>
      <w:pPr>
        <w:keepNext/>
        <w:spacing w:before="360" w:after="120"/>
      </w:pPr>
      <w:r>
        <w:rPr>
          <w:rFonts w:ascii="Calibri" w:hAnsi="Calibri"/>
          <w:b/>
          <w:color w:val="0F6B4A"/>
          <w:sz w:val="32"/>
        </w:rPr>
        <w:t>3. Comprehensive Technology Stack Analysis</w:t>
      </w:r>
    </w:p>
    <w:p>
      <w:pPr>
        <w:spacing w:before="0" w:after="100" w:line="276" w:lineRule="auto"/>
      </w:pPr>
      <w:r>
        <w:rPr>
          <w:rFonts w:ascii="Calibri" w:hAnsi="Calibri"/>
          <w:color w:val="1F2937"/>
          <w:sz w:val="21"/>
        </w:rPr>
        <w:t>A rigorous engineering defense requires justifying why each dependency was chosen over industry alternatives. The table and breakdown below illustrate the technological decision-making matrix:</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584"/>
            <w:tcMar>
              <w:top w:w="60" w:type="dxa"/>
              <w:bottom w:w="60" w:type="dxa"/>
              <w:left w:w="80" w:type="dxa"/>
              <w:right w:w="80" w:type="dxa"/>
            </w:tcMar>
            <w:shd w:fill="0F6B4A"/>
          </w:tcPr>
          <w:p>
            <w:pPr>
              <w:spacing w:before="0" w:after="0"/>
            </w:pPr>
            <w:r>
              <w:rPr>
                <w:rFonts w:ascii="Calibri" w:hAnsi="Calibri"/>
                <w:b/>
                <w:color w:val="FFFFFF"/>
                <w:sz w:val="19"/>
              </w:rPr>
              <w:t>Layer</w:t>
            </w:r>
          </w:p>
        </w:tc>
        <w:tc>
          <w:tcPr>
            <w:tcW w:type="dxa" w:w="2304"/>
            <w:tcMar>
              <w:top w:w="60" w:type="dxa"/>
              <w:bottom w:w="60" w:type="dxa"/>
              <w:left w:w="80" w:type="dxa"/>
              <w:right w:w="80" w:type="dxa"/>
            </w:tcMar>
            <w:shd w:fill="0F6B4A"/>
          </w:tcPr>
          <w:p>
            <w:pPr>
              <w:spacing w:before="0" w:after="0"/>
            </w:pPr>
            <w:r>
              <w:rPr>
                <w:rFonts w:ascii="Calibri" w:hAnsi="Calibri"/>
                <w:b/>
                <w:color w:val="FFFFFF"/>
                <w:sz w:val="19"/>
              </w:rPr>
              <w:t>Technology</w:t>
            </w:r>
          </w:p>
        </w:tc>
        <w:tc>
          <w:tcPr>
            <w:tcW w:type="dxa" w:w="2304"/>
            <w:tcMar>
              <w:top w:w="60" w:type="dxa"/>
              <w:bottom w:w="60" w:type="dxa"/>
              <w:left w:w="80" w:type="dxa"/>
              <w:right w:w="80" w:type="dxa"/>
            </w:tcMar>
            <w:shd w:fill="0F6B4A"/>
          </w:tcPr>
          <w:p>
            <w:pPr>
              <w:spacing w:before="0" w:after="0"/>
            </w:pPr>
            <w:r>
              <w:rPr>
                <w:rFonts w:ascii="Calibri" w:hAnsi="Calibri"/>
                <w:b/>
                <w:color w:val="FFFFFF"/>
                <w:sz w:val="19"/>
              </w:rPr>
              <w:t>Role in Project</w:t>
            </w:r>
          </w:p>
        </w:tc>
        <w:tc>
          <w:tcPr>
            <w:tcW w:type="dxa" w:w="3168"/>
            <w:tcMar>
              <w:top w:w="60" w:type="dxa"/>
              <w:bottom w:w="60" w:type="dxa"/>
              <w:left w:w="80" w:type="dxa"/>
              <w:right w:w="80" w:type="dxa"/>
            </w:tcMar>
            <w:shd w:fill="0F6B4A"/>
          </w:tcPr>
          <w:p>
            <w:pPr>
              <w:spacing w:before="0" w:after="0"/>
            </w:pPr>
            <w:r>
              <w:rPr>
                <w:rFonts w:ascii="Calibri" w:hAnsi="Calibri"/>
                <w:b/>
                <w:color w:val="FFFFFF"/>
                <w:sz w:val="19"/>
              </w:rPr>
              <w:t>Architectural Rationale / Why Chosen</w:t>
            </w:r>
          </w:p>
        </w:tc>
      </w:tr>
      <w:tr>
        <w:tc>
          <w:tcPr>
            <w:tcW w:type="dxa" w:w="1584"/>
            <w:tcMar>
              <w:top w:w="60" w:type="dxa"/>
              <w:bottom w:w="60" w:type="dxa"/>
              <w:left w:w="80" w:type="dxa"/>
              <w:right w:w="80" w:type="dxa"/>
            </w:tcMar>
            <w:shd w:fill="F8FAFC"/>
          </w:tcPr>
          <w:p>
            <w:pPr>
              <w:spacing w:before="0" w:after="0"/>
            </w:pPr>
            <w:r>
              <w:rPr>
                <w:rFonts w:ascii="Calibri" w:hAnsi="Calibri"/>
                <w:b w:val="0"/>
                <w:color w:val="1F2937"/>
                <w:sz w:val="18"/>
              </w:rPr>
              <w:t>Frontend UI</w:t>
            </w:r>
          </w:p>
        </w:tc>
        <w:tc>
          <w:tcPr>
            <w:tcW w:type="dxa" w:w="2304"/>
            <w:tcMar>
              <w:top w:w="60" w:type="dxa"/>
              <w:bottom w:w="60" w:type="dxa"/>
              <w:left w:w="80" w:type="dxa"/>
              <w:right w:w="80" w:type="dxa"/>
            </w:tcMar>
            <w:shd w:fill="F8FAFC"/>
          </w:tcPr>
          <w:p>
            <w:pPr>
              <w:spacing w:before="0" w:after="0"/>
            </w:pPr>
            <w:r>
              <w:rPr>
                <w:rFonts w:ascii="Calibri" w:hAnsi="Calibri"/>
                <w:b/>
                <w:color w:val="1F2937"/>
                <w:sz w:val="18"/>
              </w:rPr>
              <w:t>Next.js 16 (App Router) + React 19</w:t>
            </w:r>
          </w:p>
        </w:tc>
        <w:tc>
          <w:tcPr>
            <w:tcW w:type="dxa" w:w="2304"/>
            <w:tcMar>
              <w:top w:w="60" w:type="dxa"/>
              <w:bottom w:w="60" w:type="dxa"/>
              <w:left w:w="80" w:type="dxa"/>
              <w:right w:w="80" w:type="dxa"/>
            </w:tcMar>
            <w:shd w:fill="F8FAFC"/>
          </w:tcPr>
          <w:p>
            <w:pPr>
              <w:spacing w:before="0" w:after="0"/>
            </w:pPr>
            <w:r>
              <w:rPr>
                <w:rFonts w:ascii="Calibri" w:hAnsi="Calibri"/>
                <w:b w:val="0"/>
                <w:color w:val="1F2937"/>
                <w:sz w:val="18"/>
              </w:rPr>
              <w:t>Client presentation, SSR/CSR, routing</w:t>
            </w:r>
          </w:p>
        </w:tc>
        <w:tc>
          <w:tcPr>
            <w:tcW w:type="dxa" w:w="3168"/>
            <w:tcMar>
              <w:top w:w="60" w:type="dxa"/>
              <w:bottom w:w="60" w:type="dxa"/>
              <w:left w:w="80" w:type="dxa"/>
              <w:right w:w="80" w:type="dxa"/>
            </w:tcMar>
            <w:shd w:fill="F8FAFC"/>
          </w:tcPr>
          <w:p>
            <w:pPr>
              <w:spacing w:before="0" w:after="0"/>
            </w:pPr>
            <w:r>
              <w:rPr>
                <w:rFonts w:ascii="Calibri" w:hAnsi="Calibri"/>
                <w:b w:val="0"/>
                <w:color w:val="1F2937"/>
                <w:sz w:val="18"/>
              </w:rPr>
              <w:t>Zero-config bundler, fast hydration, built-in reverse proxy rewrites, and cutting-edge React 19 compiler optimizations.</w:t>
            </w:r>
          </w:p>
        </w:tc>
      </w:tr>
      <w:tr>
        <w:tc>
          <w:tcPr>
            <w:tcW w:type="dxa" w:w="1584"/>
            <w:tcMar>
              <w:top w:w="60" w:type="dxa"/>
              <w:bottom w:w="60" w:type="dxa"/>
              <w:left w:w="80" w:type="dxa"/>
              <w:right w:w="80" w:type="dxa"/>
            </w:tcMar>
            <w:shd w:fill="FFFFFF"/>
          </w:tcPr>
          <w:p>
            <w:pPr>
              <w:spacing w:before="0" w:after="0"/>
            </w:pPr>
            <w:r>
              <w:rPr>
                <w:rFonts w:ascii="Calibri" w:hAnsi="Calibri"/>
                <w:b w:val="0"/>
                <w:color w:val="1F2937"/>
                <w:sz w:val="18"/>
              </w:rPr>
              <w:t>Language</w:t>
            </w:r>
          </w:p>
        </w:tc>
        <w:tc>
          <w:tcPr>
            <w:tcW w:type="dxa" w:w="2304"/>
            <w:tcMar>
              <w:top w:w="60" w:type="dxa"/>
              <w:bottom w:w="60" w:type="dxa"/>
              <w:left w:w="80" w:type="dxa"/>
              <w:right w:w="80" w:type="dxa"/>
            </w:tcMar>
            <w:shd w:fill="FFFFFF"/>
          </w:tcPr>
          <w:p>
            <w:pPr>
              <w:spacing w:before="0" w:after="0"/>
            </w:pPr>
            <w:r>
              <w:rPr>
                <w:rFonts w:ascii="Calibri" w:hAnsi="Calibri"/>
                <w:b/>
                <w:color w:val="1F2937"/>
                <w:sz w:val="18"/>
              </w:rPr>
              <w:t>TypeScript 5.7</w:t>
            </w:r>
          </w:p>
        </w:tc>
        <w:tc>
          <w:tcPr>
            <w:tcW w:type="dxa" w:w="2304"/>
            <w:tcMar>
              <w:top w:w="60" w:type="dxa"/>
              <w:bottom w:w="60" w:type="dxa"/>
              <w:left w:w="80" w:type="dxa"/>
              <w:right w:w="80" w:type="dxa"/>
            </w:tcMar>
            <w:shd w:fill="FFFFFF"/>
          </w:tcPr>
          <w:p>
            <w:pPr>
              <w:spacing w:before="0" w:after="0"/>
            </w:pPr>
            <w:r>
              <w:rPr>
                <w:rFonts w:ascii="Calibri" w:hAnsi="Calibri"/>
                <w:b w:val="0"/>
                <w:color w:val="1F2937"/>
                <w:sz w:val="18"/>
              </w:rPr>
              <w:t>Static typing across monorepo</w:t>
            </w:r>
          </w:p>
        </w:tc>
        <w:tc>
          <w:tcPr>
            <w:tcW w:type="dxa" w:w="3168"/>
            <w:tcMar>
              <w:top w:w="60" w:type="dxa"/>
              <w:bottom w:w="60" w:type="dxa"/>
              <w:left w:w="80" w:type="dxa"/>
              <w:right w:w="80" w:type="dxa"/>
            </w:tcMar>
            <w:shd w:fill="FFFFFF"/>
          </w:tcPr>
          <w:p>
            <w:pPr>
              <w:spacing w:before="0" w:after="0"/>
            </w:pPr>
            <w:r>
              <w:rPr>
                <w:rFonts w:ascii="Calibri" w:hAnsi="Calibri"/>
                <w:b w:val="0"/>
                <w:color w:val="1F2937"/>
                <w:sz w:val="18"/>
              </w:rPr>
              <w:t>Eliminates entire categories of runtime errors (undefined props, contract mismatches) and enforces strict API DTO contracts.</w:t>
            </w:r>
          </w:p>
        </w:tc>
      </w:tr>
      <w:tr>
        <w:tc>
          <w:tcPr>
            <w:tcW w:type="dxa" w:w="1584"/>
            <w:tcMar>
              <w:top w:w="60" w:type="dxa"/>
              <w:bottom w:w="60" w:type="dxa"/>
              <w:left w:w="80" w:type="dxa"/>
              <w:right w:w="80" w:type="dxa"/>
            </w:tcMar>
            <w:shd w:fill="F8FAFC"/>
          </w:tcPr>
          <w:p>
            <w:pPr>
              <w:spacing w:before="0" w:after="0"/>
            </w:pPr>
            <w:r>
              <w:rPr>
                <w:rFonts w:ascii="Calibri" w:hAnsi="Calibri"/>
                <w:b w:val="0"/>
                <w:color w:val="1F2937"/>
                <w:sz w:val="18"/>
              </w:rPr>
              <w:t>State Mgmt</w:t>
            </w:r>
          </w:p>
        </w:tc>
        <w:tc>
          <w:tcPr>
            <w:tcW w:type="dxa" w:w="2304"/>
            <w:tcMar>
              <w:top w:w="60" w:type="dxa"/>
              <w:bottom w:w="60" w:type="dxa"/>
              <w:left w:w="80" w:type="dxa"/>
              <w:right w:w="80" w:type="dxa"/>
            </w:tcMar>
            <w:shd w:fill="F8FAFC"/>
          </w:tcPr>
          <w:p>
            <w:pPr>
              <w:spacing w:before="0" w:after="0"/>
            </w:pPr>
            <w:r>
              <w:rPr>
                <w:rFonts w:ascii="Calibri" w:hAnsi="Calibri"/>
                <w:b/>
                <w:color w:val="1F2937"/>
                <w:sz w:val="18"/>
              </w:rPr>
              <w:t>Zustand 5.0</w:t>
            </w:r>
          </w:p>
        </w:tc>
        <w:tc>
          <w:tcPr>
            <w:tcW w:type="dxa" w:w="2304"/>
            <w:tcMar>
              <w:top w:w="60" w:type="dxa"/>
              <w:bottom w:w="60" w:type="dxa"/>
              <w:left w:w="80" w:type="dxa"/>
              <w:right w:w="80" w:type="dxa"/>
            </w:tcMar>
            <w:shd w:fill="F8FAFC"/>
          </w:tcPr>
          <w:p>
            <w:pPr>
              <w:spacing w:before="0" w:after="0"/>
            </w:pPr>
            <w:r>
              <w:rPr>
                <w:rFonts w:ascii="Calibri" w:hAnsi="Calibri"/>
                <w:b w:val="0"/>
                <w:color w:val="1F2937"/>
                <w:sz w:val="18"/>
              </w:rPr>
              <w:t>Global client application state</w:t>
            </w:r>
          </w:p>
        </w:tc>
        <w:tc>
          <w:tcPr>
            <w:tcW w:type="dxa" w:w="3168"/>
            <w:tcMar>
              <w:top w:w="60" w:type="dxa"/>
              <w:bottom w:w="60" w:type="dxa"/>
              <w:left w:w="80" w:type="dxa"/>
              <w:right w:w="80" w:type="dxa"/>
            </w:tcMar>
            <w:shd w:fill="F8FAFC"/>
          </w:tcPr>
          <w:p>
            <w:pPr>
              <w:spacing w:before="0" w:after="0"/>
            </w:pPr>
            <w:r>
              <w:rPr>
                <w:rFonts w:ascii="Calibri" w:hAnsi="Calibri"/>
                <w:b w:val="0"/>
                <w:color w:val="1F2937"/>
                <w:sz w:val="18"/>
              </w:rPr>
              <w:t>Only 1KB bundle size; avoids React Context re-render storms and Redux boilerplate; provides simple outside-React state access.</w:t>
            </w:r>
          </w:p>
        </w:tc>
      </w:tr>
      <w:tr>
        <w:tc>
          <w:tcPr>
            <w:tcW w:type="dxa" w:w="1584"/>
            <w:tcMar>
              <w:top w:w="60" w:type="dxa"/>
              <w:bottom w:w="60" w:type="dxa"/>
              <w:left w:w="80" w:type="dxa"/>
              <w:right w:w="80" w:type="dxa"/>
            </w:tcMar>
            <w:shd w:fill="FFFFFF"/>
          </w:tcPr>
          <w:p>
            <w:pPr>
              <w:spacing w:before="0" w:after="0"/>
            </w:pPr>
            <w:r>
              <w:rPr>
                <w:rFonts w:ascii="Calibri" w:hAnsi="Calibri"/>
                <w:b w:val="0"/>
                <w:color w:val="1F2937"/>
                <w:sz w:val="18"/>
              </w:rPr>
              <w:t>Styling</w:t>
            </w:r>
          </w:p>
        </w:tc>
        <w:tc>
          <w:tcPr>
            <w:tcW w:type="dxa" w:w="2304"/>
            <w:tcMar>
              <w:top w:w="60" w:type="dxa"/>
              <w:bottom w:w="60" w:type="dxa"/>
              <w:left w:w="80" w:type="dxa"/>
              <w:right w:w="80" w:type="dxa"/>
            </w:tcMar>
            <w:shd w:fill="FFFFFF"/>
          </w:tcPr>
          <w:p>
            <w:pPr>
              <w:spacing w:before="0" w:after="0"/>
            </w:pPr>
            <w:r>
              <w:rPr>
                <w:rFonts w:ascii="Calibri" w:hAnsi="Calibri"/>
                <w:b/>
                <w:color w:val="1F2937"/>
                <w:sz w:val="18"/>
              </w:rPr>
              <w:t>Tailwind CSS 4 + shadcn/ui (Radix)</w:t>
            </w:r>
          </w:p>
        </w:tc>
        <w:tc>
          <w:tcPr>
            <w:tcW w:type="dxa" w:w="2304"/>
            <w:tcMar>
              <w:top w:w="60" w:type="dxa"/>
              <w:bottom w:w="60" w:type="dxa"/>
              <w:left w:w="80" w:type="dxa"/>
              <w:right w:w="80" w:type="dxa"/>
            </w:tcMar>
            <w:shd w:fill="FFFFFF"/>
          </w:tcPr>
          <w:p>
            <w:pPr>
              <w:spacing w:before="0" w:after="0"/>
            </w:pPr>
            <w:r>
              <w:rPr>
                <w:rFonts w:ascii="Calibri" w:hAnsi="Calibri"/>
                <w:b w:val="0"/>
                <w:color w:val="1F2937"/>
                <w:sz w:val="18"/>
              </w:rPr>
              <w:t>Accessible responsive UI system</w:t>
            </w:r>
          </w:p>
        </w:tc>
        <w:tc>
          <w:tcPr>
            <w:tcW w:type="dxa" w:w="3168"/>
            <w:tcMar>
              <w:top w:w="60" w:type="dxa"/>
              <w:bottom w:w="60" w:type="dxa"/>
              <w:left w:w="80" w:type="dxa"/>
              <w:right w:w="80" w:type="dxa"/>
            </w:tcMar>
            <w:shd w:fill="FFFFFF"/>
          </w:tcPr>
          <w:p>
            <w:pPr>
              <w:spacing w:before="0" w:after="0"/>
            </w:pPr>
            <w:r>
              <w:rPr>
                <w:rFonts w:ascii="Calibri" w:hAnsi="Calibri"/>
                <w:b w:val="0"/>
                <w:color w:val="1F2937"/>
                <w:sz w:val="18"/>
              </w:rPr>
              <w:t>JIT compiled utility CSS with Radix UI headless primitives ensuring full WCAG accessibility without runtime styling overhead.</w:t>
            </w:r>
          </w:p>
        </w:tc>
      </w:tr>
      <w:tr>
        <w:tc>
          <w:tcPr>
            <w:tcW w:type="dxa" w:w="1584"/>
            <w:tcMar>
              <w:top w:w="60" w:type="dxa"/>
              <w:bottom w:w="60" w:type="dxa"/>
              <w:left w:w="80" w:type="dxa"/>
              <w:right w:w="80" w:type="dxa"/>
            </w:tcMar>
            <w:shd w:fill="F8FAFC"/>
          </w:tcPr>
          <w:p>
            <w:pPr>
              <w:spacing w:before="0" w:after="0"/>
            </w:pPr>
            <w:r>
              <w:rPr>
                <w:rFonts w:ascii="Calibri" w:hAnsi="Calibri"/>
                <w:b w:val="0"/>
                <w:color w:val="1F2937"/>
                <w:sz w:val="18"/>
              </w:rPr>
              <w:t>Typography</w:t>
            </w:r>
          </w:p>
        </w:tc>
        <w:tc>
          <w:tcPr>
            <w:tcW w:type="dxa" w:w="2304"/>
            <w:tcMar>
              <w:top w:w="60" w:type="dxa"/>
              <w:bottom w:w="60" w:type="dxa"/>
              <w:left w:w="80" w:type="dxa"/>
              <w:right w:w="80" w:type="dxa"/>
            </w:tcMar>
            <w:shd w:fill="F8FAFC"/>
          </w:tcPr>
          <w:p>
            <w:pPr>
              <w:spacing w:before="0" w:after="0"/>
            </w:pPr>
            <w:r>
              <w:rPr>
                <w:rFonts w:ascii="Calibri" w:hAnsi="Calibri"/>
                <w:b/>
                <w:color w:val="1F2937"/>
                <w:sz w:val="18"/>
              </w:rPr>
              <w:t>Noto Sans Ethiopic</w:t>
            </w:r>
          </w:p>
        </w:tc>
        <w:tc>
          <w:tcPr>
            <w:tcW w:type="dxa" w:w="2304"/>
            <w:tcMar>
              <w:top w:w="60" w:type="dxa"/>
              <w:bottom w:w="60" w:type="dxa"/>
              <w:left w:w="80" w:type="dxa"/>
              <w:right w:w="80" w:type="dxa"/>
            </w:tcMar>
            <w:shd w:fill="F8FAFC"/>
          </w:tcPr>
          <w:p>
            <w:pPr>
              <w:spacing w:before="0" w:after="0"/>
            </w:pPr>
            <w:r>
              <w:rPr>
                <w:rFonts w:ascii="Calibri" w:hAnsi="Calibri"/>
                <w:b w:val="0"/>
                <w:color w:val="1F2937"/>
                <w:sz w:val="18"/>
              </w:rPr>
              <w:t>Amharic language rendering</w:t>
            </w:r>
          </w:p>
        </w:tc>
        <w:tc>
          <w:tcPr>
            <w:tcW w:type="dxa" w:w="3168"/>
            <w:tcMar>
              <w:top w:w="60" w:type="dxa"/>
              <w:bottom w:w="60" w:type="dxa"/>
              <w:left w:w="80" w:type="dxa"/>
              <w:right w:w="80" w:type="dxa"/>
            </w:tcMar>
            <w:shd w:fill="F8FAFC"/>
          </w:tcPr>
          <w:p>
            <w:pPr>
              <w:spacing w:before="0" w:after="0"/>
            </w:pPr>
            <w:r>
              <w:rPr>
                <w:rFonts w:ascii="Calibri" w:hAnsi="Calibri"/>
                <w:b w:val="0"/>
                <w:color w:val="1F2937"/>
                <w:sz w:val="18"/>
              </w:rPr>
              <w:t>Official Google font optimized specifically for Ge'ez orthography, preventing broken glyphs or improper ligature clipping in Ethiopian languages.</w:t>
            </w:r>
          </w:p>
        </w:tc>
      </w:tr>
      <w:tr>
        <w:tc>
          <w:tcPr>
            <w:tcW w:type="dxa" w:w="1584"/>
            <w:tcMar>
              <w:top w:w="60" w:type="dxa"/>
              <w:bottom w:w="60" w:type="dxa"/>
              <w:left w:w="80" w:type="dxa"/>
              <w:right w:w="80" w:type="dxa"/>
            </w:tcMar>
            <w:shd w:fill="FFFFFF"/>
          </w:tcPr>
          <w:p>
            <w:pPr>
              <w:spacing w:before="0" w:after="0"/>
            </w:pPr>
            <w:r>
              <w:rPr>
                <w:rFonts w:ascii="Calibri" w:hAnsi="Calibri"/>
                <w:b w:val="0"/>
                <w:color w:val="1F2937"/>
                <w:sz w:val="18"/>
              </w:rPr>
              <w:t>Backend API</w:t>
            </w:r>
          </w:p>
        </w:tc>
        <w:tc>
          <w:tcPr>
            <w:tcW w:type="dxa" w:w="2304"/>
            <w:tcMar>
              <w:top w:w="60" w:type="dxa"/>
              <w:bottom w:w="60" w:type="dxa"/>
              <w:left w:w="80" w:type="dxa"/>
              <w:right w:w="80" w:type="dxa"/>
            </w:tcMar>
            <w:shd w:fill="FFFFFF"/>
          </w:tcPr>
          <w:p>
            <w:pPr>
              <w:spacing w:before="0" w:after="0"/>
            </w:pPr>
            <w:r>
              <w:rPr>
                <w:rFonts w:ascii="Calibri" w:hAnsi="Calibri"/>
                <w:b/>
                <w:color w:val="1F2937"/>
                <w:sz w:val="18"/>
              </w:rPr>
              <w:t>Express.js 4.21 + Node.js 20+</w:t>
            </w:r>
          </w:p>
        </w:tc>
        <w:tc>
          <w:tcPr>
            <w:tcW w:type="dxa" w:w="2304"/>
            <w:tcMar>
              <w:top w:w="60" w:type="dxa"/>
              <w:bottom w:w="60" w:type="dxa"/>
              <w:left w:w="80" w:type="dxa"/>
              <w:right w:w="80" w:type="dxa"/>
            </w:tcMar>
            <w:shd w:fill="FFFFFF"/>
          </w:tcPr>
          <w:p>
            <w:pPr>
              <w:spacing w:before="0" w:after="0"/>
            </w:pPr>
            <w:r>
              <w:rPr>
                <w:rFonts w:ascii="Calibri" w:hAnsi="Calibri"/>
                <w:b w:val="0"/>
                <w:color w:val="1F2937"/>
                <w:sz w:val="18"/>
              </w:rPr>
              <w:t>RESTful service layer</w:t>
            </w:r>
          </w:p>
        </w:tc>
        <w:tc>
          <w:tcPr>
            <w:tcW w:type="dxa" w:w="3168"/>
            <w:tcMar>
              <w:top w:w="60" w:type="dxa"/>
              <w:bottom w:w="60" w:type="dxa"/>
              <w:left w:w="80" w:type="dxa"/>
              <w:right w:w="80" w:type="dxa"/>
            </w:tcMar>
            <w:shd w:fill="FFFFFF"/>
          </w:tcPr>
          <w:p>
            <w:pPr>
              <w:spacing w:before="0" w:after="0"/>
            </w:pPr>
            <w:r>
              <w:rPr>
                <w:rFonts w:ascii="Calibri" w:hAnsi="Calibri"/>
                <w:b w:val="0"/>
                <w:color w:val="1F2937"/>
                <w:sz w:val="18"/>
              </w:rPr>
              <w:t>Minimalist, battle-tested HTTP engine with mature middleware ecosystem, decoupled from frontend serverless constraints.</w:t>
            </w:r>
          </w:p>
        </w:tc>
      </w:tr>
      <w:tr>
        <w:tc>
          <w:tcPr>
            <w:tcW w:type="dxa" w:w="1584"/>
            <w:tcMar>
              <w:top w:w="60" w:type="dxa"/>
              <w:bottom w:w="60" w:type="dxa"/>
              <w:left w:w="80" w:type="dxa"/>
              <w:right w:w="80" w:type="dxa"/>
            </w:tcMar>
            <w:shd w:fill="F8FAFC"/>
          </w:tcPr>
          <w:p>
            <w:pPr>
              <w:spacing w:before="0" w:after="0"/>
            </w:pPr>
            <w:r>
              <w:rPr>
                <w:rFonts w:ascii="Calibri" w:hAnsi="Calibri"/>
                <w:b w:val="0"/>
                <w:color w:val="1F2937"/>
                <w:sz w:val="18"/>
              </w:rPr>
              <w:t>Database / ORM</w:t>
            </w:r>
          </w:p>
        </w:tc>
        <w:tc>
          <w:tcPr>
            <w:tcW w:type="dxa" w:w="2304"/>
            <w:tcMar>
              <w:top w:w="60" w:type="dxa"/>
              <w:bottom w:w="60" w:type="dxa"/>
              <w:left w:w="80" w:type="dxa"/>
              <w:right w:w="80" w:type="dxa"/>
            </w:tcMar>
            <w:shd w:fill="F8FAFC"/>
          </w:tcPr>
          <w:p>
            <w:pPr>
              <w:spacing w:before="0" w:after="0"/>
            </w:pPr>
            <w:r>
              <w:rPr>
                <w:rFonts w:ascii="Calibri" w:hAnsi="Calibri"/>
                <w:b/>
                <w:color w:val="1F2937"/>
                <w:sz w:val="18"/>
              </w:rPr>
              <w:t>PostgreSQL (Neon) + Prisma ORM 6</w:t>
            </w:r>
          </w:p>
        </w:tc>
        <w:tc>
          <w:tcPr>
            <w:tcW w:type="dxa" w:w="2304"/>
            <w:tcMar>
              <w:top w:w="60" w:type="dxa"/>
              <w:bottom w:w="60" w:type="dxa"/>
              <w:left w:w="80" w:type="dxa"/>
              <w:right w:w="80" w:type="dxa"/>
            </w:tcMar>
            <w:shd w:fill="F8FAFC"/>
          </w:tcPr>
          <w:p>
            <w:pPr>
              <w:spacing w:before="0" w:after="0"/>
            </w:pPr>
            <w:r>
              <w:rPr>
                <w:rFonts w:ascii="Calibri" w:hAnsi="Calibri"/>
                <w:b w:val="0"/>
                <w:color w:val="1F2937"/>
                <w:sz w:val="18"/>
              </w:rPr>
              <w:t>Relational persistence &amp; client</w:t>
            </w:r>
          </w:p>
        </w:tc>
        <w:tc>
          <w:tcPr>
            <w:tcW w:type="dxa" w:w="3168"/>
            <w:tcMar>
              <w:top w:w="60" w:type="dxa"/>
              <w:bottom w:w="60" w:type="dxa"/>
              <w:left w:w="80" w:type="dxa"/>
              <w:right w:w="80" w:type="dxa"/>
            </w:tcMar>
            <w:shd w:fill="F8FAFC"/>
          </w:tcPr>
          <w:p>
            <w:pPr>
              <w:spacing w:before="0" w:after="0"/>
            </w:pPr>
            <w:r>
              <w:rPr>
                <w:rFonts w:ascii="Calibri" w:hAnsi="Calibri"/>
                <w:b w:val="0"/>
                <w:color w:val="1F2937"/>
                <w:sz w:val="18"/>
              </w:rPr>
              <w:t>True ACID compliance, relational integrity, automatic schema migrations, and end-to-end type safety with zero raw SQL typos.</w:t>
            </w:r>
          </w:p>
        </w:tc>
      </w:tr>
      <w:tr>
        <w:tc>
          <w:tcPr>
            <w:tcW w:type="dxa" w:w="1584"/>
            <w:tcMar>
              <w:top w:w="60" w:type="dxa"/>
              <w:bottom w:w="60" w:type="dxa"/>
              <w:left w:w="80" w:type="dxa"/>
              <w:right w:w="80" w:type="dxa"/>
            </w:tcMar>
            <w:shd w:fill="FFFFFF"/>
          </w:tcPr>
          <w:p>
            <w:pPr>
              <w:spacing w:before="0" w:after="0"/>
            </w:pPr>
            <w:r>
              <w:rPr>
                <w:rFonts w:ascii="Calibri" w:hAnsi="Calibri"/>
                <w:b w:val="0"/>
                <w:color w:val="1F2937"/>
                <w:sz w:val="18"/>
              </w:rPr>
              <w:t>Security</w:t>
            </w:r>
          </w:p>
        </w:tc>
        <w:tc>
          <w:tcPr>
            <w:tcW w:type="dxa" w:w="2304"/>
            <w:tcMar>
              <w:top w:w="60" w:type="dxa"/>
              <w:bottom w:w="60" w:type="dxa"/>
              <w:left w:w="80" w:type="dxa"/>
              <w:right w:w="80" w:type="dxa"/>
            </w:tcMar>
            <w:shd w:fill="FFFFFF"/>
          </w:tcPr>
          <w:p>
            <w:pPr>
              <w:spacing w:before="0" w:after="0"/>
            </w:pPr>
            <w:r>
              <w:rPr>
                <w:rFonts w:ascii="Calibri" w:hAnsi="Calibri"/>
                <w:b/>
                <w:color w:val="1F2937"/>
                <w:sz w:val="18"/>
              </w:rPr>
              <w:t>PBKDF2 + TimingSafeEqual</w:t>
            </w:r>
          </w:p>
        </w:tc>
        <w:tc>
          <w:tcPr>
            <w:tcW w:type="dxa" w:w="2304"/>
            <w:tcMar>
              <w:top w:w="60" w:type="dxa"/>
              <w:bottom w:w="60" w:type="dxa"/>
              <w:left w:w="80" w:type="dxa"/>
              <w:right w:w="80" w:type="dxa"/>
            </w:tcMar>
            <w:shd w:fill="FFFFFF"/>
          </w:tcPr>
          <w:p>
            <w:pPr>
              <w:spacing w:before="0" w:after="0"/>
            </w:pPr>
            <w:r>
              <w:rPr>
                <w:rFonts w:ascii="Calibri" w:hAnsi="Calibri"/>
                <w:b w:val="0"/>
                <w:color w:val="1F2937"/>
                <w:sz w:val="18"/>
              </w:rPr>
              <w:t>Cryptographic password hashing</w:t>
            </w:r>
          </w:p>
        </w:tc>
        <w:tc>
          <w:tcPr>
            <w:tcW w:type="dxa" w:w="3168"/>
            <w:tcMar>
              <w:top w:w="60" w:type="dxa"/>
              <w:bottom w:w="60" w:type="dxa"/>
              <w:left w:w="80" w:type="dxa"/>
              <w:right w:w="80" w:type="dxa"/>
            </w:tcMar>
            <w:shd w:fill="FFFFFF"/>
          </w:tcPr>
          <w:p>
            <w:pPr>
              <w:spacing w:before="0" w:after="0"/>
            </w:pPr>
            <w:r>
              <w:rPr>
                <w:rFonts w:ascii="Calibri" w:hAnsi="Calibri"/>
                <w:b w:val="0"/>
                <w:color w:val="1F2937"/>
                <w:sz w:val="18"/>
              </w:rPr>
              <w:t>Built-in Node.js crypto module; 100,000 iterations prevents GPU cracking; constant-time comparison blocks timing attacks.</w:t>
            </w:r>
          </w:p>
        </w:tc>
      </w:tr>
    </w:tbl>
    <w:p>
      <w:pPr>
        <w:spacing w:after="160"/>
      </w:pPr>
    </w:p>
    <w:p>
      <w:pPr>
        <w:keepNext/>
        <w:spacing w:before="360" w:after="120"/>
      </w:pPr>
      <w:r>
        <w:rPr>
          <w:rFonts w:ascii="Calibri" w:hAnsi="Calibri"/>
          <w:b/>
          <w:color w:val="0F6B4A"/>
          <w:sz w:val="32"/>
        </w:rPr>
        <w:t>4. End-to-End API Architecture &amp; Request Lifecycle</w:t>
      </w:r>
    </w:p>
    <w:p>
      <w:pPr>
        <w:spacing w:before="0" w:after="100" w:line="276" w:lineRule="auto"/>
      </w:pPr>
      <w:r>
        <w:rPr>
          <w:rFonts w:ascii="Calibri" w:hAnsi="Calibri"/>
          <w:color w:val="1F2937"/>
          <w:sz w:val="21"/>
        </w:rPr>
        <w:t>A common point of confusion during oral defenses is explaining how frontend components talk to the backend and where the files live. Here is the precise step-by-step breakdown of an API interaction.</w:t>
      </w:r>
    </w:p>
    <w:p>
      <w:pPr>
        <w:keepNext/>
        <w:spacing w:before="260" w:after="80"/>
      </w:pPr>
      <w:r>
        <w:rPr>
          <w:rFonts w:ascii="Calibri" w:hAnsi="Calibri"/>
          <w:b/>
          <w:color w:val="C89B3C"/>
          <w:sz w:val="26"/>
        </w:rPr>
        <w:t>4.1 The Reverse Proxy Solution (next.config.ts)</w:t>
      </w:r>
    </w:p>
    <w:p>
      <w:pPr>
        <w:spacing w:before="0" w:after="100" w:line="276" w:lineRule="auto"/>
      </w:pPr>
      <w:r>
        <w:rPr>
          <w:rFonts w:ascii="Calibri" w:hAnsi="Calibri"/>
          <w:color w:val="1F2937"/>
          <w:sz w:val="21"/>
        </w:rPr>
        <w:t>In development and production, the user's browser connects to the Next.js server on port 3000. Instead of exposing port 5000 directly to the internet and triggering Cross-Origin Resource Sharing (CORS) preflight delays, Next.js acts as a reverse proxy via rewrites in frontend/next.config.ts:</w:t>
      </w:r>
    </w:p>
    <w:tbl>
      <w:tblPr>
        <w:tblW w:type="auto" w:w="0"/>
        <w:jc w:val="center"/>
        <w:tblLook w:firstColumn="1" w:firstRow="1" w:lastColumn="0" w:lastRow="0" w:noHBand="0" w:noVBand="1" w:val="04A0"/>
      </w:tblPr>
      <w:tblGrid>
        <w:gridCol w:w="9360"/>
      </w:tblGrid>
      <w:tr>
        <w:tc>
          <w:tcPr>
            <w:tcW w:type="dxa" w:w="9360"/>
            <w:shd w:fill="F4F6F5"/>
            <w:tcMar>
              <w:top w:w="140" w:type="dxa"/>
              <w:bottom w:w="140" w:type="dxa"/>
              <w:left w:w="200" w:type="dxa"/>
              <w:right w:w="200" w:type="dxa"/>
            </w:tcMar>
            <w:tcBorders>
              <w:left w:val="single" w:sz="24" w:space="0" w:color="0F6B4A"/>
              <w:top w:val="none"/>
              <w:right w:val="none"/>
              <w:bottom w:val="none"/>
            </w:tcBorders>
          </w:tcPr>
          <w:p>
            <w:pPr>
              <w:spacing w:before="40" w:after="80"/>
            </w:pPr>
            <w:r>
              <w:rPr>
                <w:rFonts w:ascii="Calibri" w:hAnsi="Calibri"/>
                <w:b/>
                <w:color w:val="0F6B4A"/>
                <w:sz w:val="22"/>
              </w:rPr>
              <w:t>Reverse Proxy Configuration (frontend/next.config.ts)</w:t>
              <w:br/>
            </w:r>
            <w:r>
              <w:rPr>
                <w:rFonts w:ascii="Calibri" w:hAnsi="Calibri"/>
                <w:color w:val="1F2937"/>
                <w:sz w:val="20"/>
              </w:rPr>
              <w:t>async rewrites() {</w:t>
              <w:br/>
              <w:t xml:space="preserve">  return [</w:t>
              <w:br/>
              <w:t xml:space="preserve">    { source: '/api/:path*', destination: 'http://localhost:5000/api/:path*' },</w:t>
              <w:br/>
              <w:t xml:space="preserve">    { source: '/uploads/:path*', destination: 'http://localhost:5000/uploads/:path*' }</w:t>
              <w:br/>
              <w:t xml:space="preserve">  ];</w:t>
              <w:br/>
              <w:t>}</w:t>
              <w:br/>
              <w:t>Result: Client code simply calls fetch('/api/applications'). The browser sends the request to :3000, and the Next.js engine relays it internally to Express on :5000. No CORS headers are violated.</w:t>
            </w:r>
          </w:p>
        </w:tc>
      </w:tr>
    </w:tbl>
    <w:p>
      <w:pPr>
        <w:spacing w:before="0" w:after="80"/>
      </w:pPr>
    </w:p>
    <w:p>
      <w:pPr>
        <w:keepNext/>
        <w:spacing w:before="260" w:after="80"/>
      </w:pPr>
      <w:r>
        <w:rPr>
          <w:rFonts w:ascii="Calibri" w:hAnsi="Calibri"/>
          <w:b/>
          <w:color w:val="C89B3C"/>
          <w:sz w:val="26"/>
        </w:rPr>
        <w:t>4.2 The Authenticated Fetch Hook (use-authed-fetch.ts)</w:t>
      </w:r>
    </w:p>
    <w:p>
      <w:pPr>
        <w:spacing w:before="0" w:after="100" w:line="276" w:lineRule="auto"/>
      </w:pPr>
      <w:r>
        <w:rPr>
          <w:rFonts w:ascii="Calibri" w:hAnsi="Calibri"/>
          <w:color w:val="1F2937"/>
          <w:sz w:val="21"/>
        </w:rPr>
        <w:t>All authenticated client requests pass through the custom React hook frontend/src/components/portal/use-authed-fetch.ts. This hook reads the current active session user from the Zustand store (store.ts) and automatically injects authentication headers into every outgoing request:</w:t>
      </w:r>
    </w:p>
    <w:p>
      <w:pPr>
        <w:pStyle w:val="ListBullet"/>
        <w:spacing w:before="0" w:after="60" w:line="269" w:lineRule="auto"/>
        <w:ind w:left="360"/>
      </w:pPr>
      <w:r>
        <w:rPr>
          <w:rFonts w:ascii="Calibri" w:hAnsi="Calibri"/>
          <w:b/>
          <w:color w:val="1F2937"/>
          <w:sz w:val="21"/>
        </w:rPr>
        <w:t xml:space="preserve">Header 1: </w:t>
      </w:r>
      <w:r>
        <w:rPr>
          <w:rFonts w:ascii="Calibri" w:hAnsi="Calibri"/>
          <w:color w:val="1F2937"/>
          <w:sz w:val="21"/>
        </w:rPr>
        <w:t>Extracts session.id and sets x-actor-id: &lt;user_id&gt;.</w:t>
      </w:r>
    </w:p>
    <w:p>
      <w:pPr>
        <w:pStyle w:val="ListBullet"/>
        <w:spacing w:before="0" w:after="60" w:line="269" w:lineRule="auto"/>
        <w:ind w:left="360"/>
      </w:pPr>
      <w:r>
        <w:rPr>
          <w:rFonts w:ascii="Calibri" w:hAnsi="Calibri"/>
          <w:b/>
          <w:color w:val="1F2937"/>
          <w:sz w:val="21"/>
        </w:rPr>
        <w:t xml:space="preserve">Header 2: </w:t>
      </w:r>
      <w:r>
        <w:rPr>
          <w:rFonts w:ascii="Calibri" w:hAnsi="Calibri"/>
          <w:color w:val="1F2937"/>
          <w:sz w:val="21"/>
        </w:rPr>
        <w:t>Extracts session.role and sets x-actor-role: &lt;super_admin | admin | applicant&gt;.</w:t>
      </w:r>
    </w:p>
    <w:p>
      <w:pPr>
        <w:keepNext/>
        <w:spacing w:before="260" w:after="80"/>
      </w:pPr>
      <w:r>
        <w:rPr>
          <w:rFonts w:ascii="Calibri" w:hAnsi="Calibri"/>
          <w:b/>
          <w:color w:val="C89B3C"/>
          <w:sz w:val="26"/>
        </w:rPr>
        <w:t>4.3 Backend Authentication Middleware Chain (middleware/auth.ts)</w:t>
      </w:r>
    </w:p>
    <w:p>
      <w:pPr>
        <w:spacing w:before="0" w:after="100" w:line="276" w:lineRule="auto"/>
      </w:pPr>
      <w:r>
        <w:rPr>
          <w:rFonts w:ascii="Calibri" w:hAnsi="Calibri"/>
          <w:color w:val="1F2937"/>
          <w:sz w:val="21"/>
        </w:rPr>
        <w:t>When the request arrives at the Express backend (server.ts), it passes through a layered middleware chain:</w:t>
      </w:r>
    </w:p>
    <w:p>
      <w:pPr>
        <w:pStyle w:val="ListBullet"/>
        <w:spacing w:before="0" w:after="60" w:line="269" w:lineRule="auto"/>
        <w:ind w:left="360"/>
      </w:pPr>
      <w:r>
        <w:rPr>
          <w:rFonts w:ascii="Calibri" w:hAnsi="Calibri"/>
          <w:b/>
          <w:color w:val="1F2937"/>
          <w:sz w:val="21"/>
        </w:rPr>
        <w:t xml:space="preserve">1. extractActor (Global): </w:t>
      </w:r>
      <w:r>
        <w:rPr>
          <w:rFonts w:ascii="Calibri" w:hAnsi="Calibri"/>
          <w:color w:val="1F2937"/>
          <w:sz w:val="21"/>
        </w:rPr>
        <w:t>Reads x-actor-id and x-actor-role from incoming HTTP headers and attaches an actor object to req.actor.</w:t>
      </w:r>
    </w:p>
    <w:p>
      <w:pPr>
        <w:pStyle w:val="ListBullet"/>
        <w:spacing w:before="0" w:after="60" w:line="269" w:lineRule="auto"/>
        <w:ind w:left="360"/>
      </w:pPr>
      <w:r>
        <w:rPr>
          <w:rFonts w:ascii="Calibri" w:hAnsi="Calibri"/>
          <w:b/>
          <w:color w:val="1F2937"/>
          <w:sz w:val="21"/>
        </w:rPr>
        <w:t xml:space="preserve">2. requireAuth: </w:t>
      </w:r>
      <w:r>
        <w:rPr>
          <w:rFonts w:ascii="Calibri" w:hAnsi="Calibri"/>
          <w:color w:val="1F2937"/>
          <w:sz w:val="21"/>
        </w:rPr>
        <w:t>Verifies that req.actor exists; returns HTTP 401 Unauthorized if missing.</w:t>
      </w:r>
    </w:p>
    <w:p>
      <w:pPr>
        <w:pStyle w:val="ListBullet"/>
        <w:spacing w:before="0" w:after="60" w:line="269" w:lineRule="auto"/>
        <w:ind w:left="360"/>
      </w:pPr>
      <w:r>
        <w:rPr>
          <w:rFonts w:ascii="Calibri" w:hAnsi="Calibri"/>
          <w:b/>
          <w:color w:val="1F2937"/>
          <w:sz w:val="21"/>
        </w:rPr>
        <w:t xml:space="preserve">3. requireAdmin: </w:t>
      </w:r>
      <w:r>
        <w:rPr>
          <w:rFonts w:ascii="Calibri" w:hAnsi="Calibri"/>
          <w:color w:val="1F2937"/>
          <w:sz w:val="21"/>
        </w:rPr>
        <w:t>Ensures req.actor.role is either 'admin' or 'super_admin'; blocks applicants.</w:t>
      </w:r>
    </w:p>
    <w:p>
      <w:pPr>
        <w:pStyle w:val="ListBullet"/>
        <w:spacing w:before="0" w:after="60" w:line="269" w:lineRule="auto"/>
        <w:ind w:left="360"/>
      </w:pPr>
      <w:r>
        <w:rPr>
          <w:rFonts w:ascii="Calibri" w:hAnsi="Calibri"/>
          <w:b/>
          <w:color w:val="1F2937"/>
          <w:sz w:val="21"/>
        </w:rPr>
        <w:t xml:space="preserve">4. requireSuperAdmin: </w:t>
      </w:r>
      <w:r>
        <w:rPr>
          <w:rFonts w:ascii="Calibri" w:hAnsi="Calibri"/>
          <w:color w:val="1F2937"/>
          <w:sz w:val="21"/>
        </w:rPr>
        <w:t>Ensures req.actor.role === 'super_admin'; blocks regular staff reviewers from sensitive actions like deleting users or issuing final approvals.</w:t>
      </w:r>
    </w:p>
    <w:p>
      <w:pPr>
        <w:keepNext/>
        <w:spacing w:before="260" w:after="80"/>
      </w:pPr>
      <w:r>
        <w:rPr>
          <w:rFonts w:ascii="Calibri" w:hAnsi="Calibri"/>
          <w:b/>
          <w:color w:val="C89B3C"/>
          <w:sz w:val="26"/>
        </w:rPr>
        <w:t>4.4 REST Endpoint Catalog</w:t>
      </w:r>
    </w:p>
    <w:p>
      <w:pPr>
        <w:spacing w:before="0" w:after="100" w:line="276" w:lineRule="auto"/>
      </w:pPr>
      <w:r>
        <w:rPr>
          <w:rFonts w:ascii="Calibri" w:hAnsi="Calibri"/>
          <w:color w:val="1F2937"/>
          <w:sz w:val="21"/>
        </w:rPr>
        <w:t>The table below details all backend API endpoints, their controllers, and their authorization requirements: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592"/>
            <w:tcMar>
              <w:top w:w="60" w:type="dxa"/>
              <w:bottom w:w="60" w:type="dxa"/>
              <w:left w:w="80" w:type="dxa"/>
              <w:right w:w="80" w:type="dxa"/>
            </w:tcMar>
            <w:shd w:fill="0F6B4A"/>
          </w:tcPr>
          <w:p>
            <w:pPr>
              <w:spacing w:before="0" w:after="0"/>
            </w:pPr>
            <w:r>
              <w:rPr>
                <w:rFonts w:ascii="Calibri" w:hAnsi="Calibri"/>
                <w:b/>
                <w:color w:val="FFFFFF"/>
                <w:sz w:val="19"/>
              </w:rPr>
              <w:t>HTTP Method &amp; Route</w:t>
            </w:r>
          </w:p>
        </w:tc>
        <w:tc>
          <w:tcPr>
            <w:tcW w:type="dxa" w:w="2016"/>
            <w:tcMar>
              <w:top w:w="60" w:type="dxa"/>
              <w:bottom w:w="60" w:type="dxa"/>
              <w:left w:w="80" w:type="dxa"/>
              <w:right w:w="80" w:type="dxa"/>
            </w:tcMar>
            <w:shd w:fill="0F6B4A"/>
          </w:tcPr>
          <w:p>
            <w:pPr>
              <w:spacing w:before="0" w:after="0"/>
            </w:pPr>
            <w:r>
              <w:rPr>
                <w:rFonts w:ascii="Calibri" w:hAnsi="Calibri"/>
                <w:b/>
                <w:color w:val="FFFFFF"/>
                <w:sz w:val="19"/>
              </w:rPr>
              <w:t>Handler File</w:t>
            </w:r>
          </w:p>
        </w:tc>
        <w:tc>
          <w:tcPr>
            <w:tcW w:type="dxa" w:w="1872"/>
            <w:tcMar>
              <w:top w:w="60" w:type="dxa"/>
              <w:bottom w:w="60" w:type="dxa"/>
              <w:left w:w="80" w:type="dxa"/>
              <w:right w:w="80" w:type="dxa"/>
            </w:tcMar>
            <w:shd w:fill="0F6B4A"/>
          </w:tcPr>
          <w:p>
            <w:pPr>
              <w:spacing w:before="0" w:after="0"/>
            </w:pPr>
            <w:r>
              <w:rPr>
                <w:rFonts w:ascii="Calibri" w:hAnsi="Calibri"/>
                <w:b/>
                <w:color w:val="FFFFFF"/>
                <w:sz w:val="19"/>
              </w:rPr>
              <w:t>Access Level</w:t>
            </w:r>
          </w:p>
        </w:tc>
        <w:tc>
          <w:tcPr>
            <w:tcW w:type="dxa" w:w="2880"/>
            <w:tcMar>
              <w:top w:w="60" w:type="dxa"/>
              <w:bottom w:w="60" w:type="dxa"/>
              <w:left w:w="80" w:type="dxa"/>
              <w:right w:w="80" w:type="dxa"/>
            </w:tcMar>
            <w:shd w:fill="0F6B4A"/>
          </w:tcPr>
          <w:p>
            <w:pPr>
              <w:spacing w:before="0" w:after="0"/>
            </w:pPr>
            <w:r>
              <w:rPr>
                <w:rFonts w:ascii="Calibri" w:hAnsi="Calibri"/>
                <w:b/>
                <w:color w:val="FFFFFF"/>
                <w:sz w:val="19"/>
              </w:rPr>
              <w:t>Purpose &amp; Business Action</w:t>
            </w:r>
          </w:p>
        </w:tc>
      </w:tr>
      <w:tr>
        <w:tc>
          <w:tcPr>
            <w:tcW w:type="dxa" w:w="2592"/>
            <w:tcMar>
              <w:top w:w="60" w:type="dxa"/>
              <w:bottom w:w="60" w:type="dxa"/>
              <w:left w:w="80" w:type="dxa"/>
              <w:right w:w="80" w:type="dxa"/>
            </w:tcMar>
            <w:shd w:fill="F8FAFC"/>
          </w:tcPr>
          <w:p>
            <w:pPr>
              <w:spacing w:before="0" w:after="0"/>
            </w:pPr>
            <w:r>
              <w:rPr>
                <w:rFonts w:ascii="Calibri" w:hAnsi="Calibri"/>
                <w:b/>
                <w:color w:val="1F2937"/>
                <w:sz w:val="17"/>
              </w:rPr>
              <w:t>POST /api/auth/login</w:t>
            </w:r>
          </w:p>
        </w:tc>
        <w:tc>
          <w:tcPr>
            <w:tcW w:type="dxa" w:w="2016"/>
            <w:tcMar>
              <w:top w:w="60" w:type="dxa"/>
              <w:bottom w:w="60" w:type="dxa"/>
              <w:left w:w="80" w:type="dxa"/>
              <w:right w:w="80" w:type="dxa"/>
            </w:tcMar>
            <w:shd w:fill="F8FAFC"/>
          </w:tcPr>
          <w:p>
            <w:pPr>
              <w:spacing w:before="0" w:after="0"/>
            </w:pPr>
            <w:r>
              <w:rPr>
                <w:rFonts w:ascii="Calibri" w:hAnsi="Calibri"/>
                <w:b w:val="0"/>
                <w:color w:val="1F2937"/>
                <w:sz w:val="17"/>
              </w:rPr>
              <w:t>routes/auth.ts</w:t>
            </w:r>
          </w:p>
        </w:tc>
        <w:tc>
          <w:tcPr>
            <w:tcW w:type="dxa" w:w="1872"/>
            <w:tcMar>
              <w:top w:w="60" w:type="dxa"/>
              <w:bottom w:w="60" w:type="dxa"/>
              <w:left w:w="80" w:type="dxa"/>
              <w:right w:w="80" w:type="dxa"/>
            </w:tcMar>
            <w:shd w:fill="F8FAFC"/>
          </w:tcPr>
          <w:p>
            <w:pPr>
              <w:spacing w:before="0" w:after="0"/>
            </w:pPr>
            <w:r>
              <w:rPr>
                <w:rFonts w:ascii="Calibri" w:hAnsi="Calibri"/>
                <w:b w:val="0"/>
                <w:color w:val="1F2937"/>
                <w:sz w:val="17"/>
              </w:rPr>
              <w:t>Public (Rate-limited)</w:t>
            </w:r>
          </w:p>
        </w:tc>
        <w:tc>
          <w:tcPr>
            <w:tcW w:type="dxa" w:w="2880"/>
            <w:tcMar>
              <w:top w:w="60" w:type="dxa"/>
              <w:bottom w:w="60" w:type="dxa"/>
              <w:left w:w="80" w:type="dxa"/>
              <w:right w:w="80" w:type="dxa"/>
            </w:tcMar>
            <w:shd w:fill="F8FAFC"/>
          </w:tcPr>
          <w:p>
            <w:pPr>
              <w:spacing w:before="0" w:after="0"/>
            </w:pPr>
            <w:r>
              <w:rPr>
                <w:rFonts w:ascii="Calibri" w:hAnsi="Calibri"/>
                <w:b w:val="0"/>
                <w:color w:val="1F2937"/>
                <w:sz w:val="17"/>
              </w:rPr>
              <w:t>Authenticates user with PBKDF2 hash check; enforces 5-attempt lockout.</w:t>
            </w:r>
          </w:p>
        </w:tc>
      </w:tr>
      <w:tr>
        <w:tc>
          <w:tcPr>
            <w:tcW w:type="dxa" w:w="2592"/>
            <w:tcMar>
              <w:top w:w="60" w:type="dxa"/>
              <w:bottom w:w="60" w:type="dxa"/>
              <w:left w:w="80" w:type="dxa"/>
              <w:right w:w="80" w:type="dxa"/>
            </w:tcMar>
            <w:shd w:fill="FFFFFF"/>
          </w:tcPr>
          <w:p>
            <w:pPr>
              <w:spacing w:before="0" w:after="0"/>
            </w:pPr>
            <w:r>
              <w:rPr>
                <w:rFonts w:ascii="Calibri" w:hAnsi="Calibri"/>
                <w:b/>
                <w:color w:val="1F2937"/>
                <w:sz w:val="17"/>
              </w:rPr>
              <w:t>POST /api/auth/signup</w:t>
            </w:r>
          </w:p>
        </w:tc>
        <w:tc>
          <w:tcPr>
            <w:tcW w:type="dxa" w:w="2016"/>
            <w:tcMar>
              <w:top w:w="60" w:type="dxa"/>
              <w:bottom w:w="60" w:type="dxa"/>
              <w:left w:w="80" w:type="dxa"/>
              <w:right w:w="80" w:type="dxa"/>
            </w:tcMar>
            <w:shd w:fill="FFFFFF"/>
          </w:tcPr>
          <w:p>
            <w:pPr>
              <w:spacing w:before="0" w:after="0"/>
            </w:pPr>
            <w:r>
              <w:rPr>
                <w:rFonts w:ascii="Calibri" w:hAnsi="Calibri"/>
                <w:b w:val="0"/>
                <w:color w:val="1F2937"/>
                <w:sz w:val="17"/>
              </w:rPr>
              <w:t>routes/auth.ts</w:t>
            </w:r>
          </w:p>
        </w:tc>
        <w:tc>
          <w:tcPr>
            <w:tcW w:type="dxa" w:w="1872"/>
            <w:tcMar>
              <w:top w:w="60" w:type="dxa"/>
              <w:bottom w:w="60" w:type="dxa"/>
              <w:left w:w="80" w:type="dxa"/>
              <w:right w:w="80" w:type="dxa"/>
            </w:tcMar>
            <w:shd w:fill="FFFFFF"/>
          </w:tcPr>
          <w:p>
            <w:pPr>
              <w:spacing w:before="0" w:after="0"/>
            </w:pPr>
            <w:r>
              <w:rPr>
                <w:rFonts w:ascii="Calibri" w:hAnsi="Calibri"/>
                <w:b w:val="0"/>
                <w:color w:val="1F2937"/>
                <w:sz w:val="17"/>
              </w:rPr>
              <w:t>Public (Rate-limited)</w:t>
            </w:r>
          </w:p>
        </w:tc>
        <w:tc>
          <w:tcPr>
            <w:tcW w:type="dxa" w:w="2880"/>
            <w:tcMar>
              <w:top w:w="60" w:type="dxa"/>
              <w:bottom w:w="60" w:type="dxa"/>
              <w:left w:w="80" w:type="dxa"/>
              <w:right w:w="80" w:type="dxa"/>
            </w:tcMar>
            <w:shd w:fill="FFFFFF"/>
          </w:tcPr>
          <w:p>
            <w:pPr>
              <w:spacing w:before="0" w:after="0"/>
            </w:pPr>
            <w:r>
              <w:rPr>
                <w:rFonts w:ascii="Calibri" w:hAnsi="Calibri"/>
                <w:b w:val="0"/>
                <w:color w:val="1F2937"/>
                <w:sz w:val="17"/>
              </w:rPr>
              <w:t>Registers applicant; validates password strength &amp; unique email.</w:t>
            </w:r>
          </w:p>
        </w:tc>
      </w:tr>
      <w:tr>
        <w:tc>
          <w:tcPr>
            <w:tcW w:type="dxa" w:w="2592"/>
            <w:tcMar>
              <w:top w:w="60" w:type="dxa"/>
              <w:bottom w:w="60" w:type="dxa"/>
              <w:left w:w="80" w:type="dxa"/>
              <w:right w:w="80" w:type="dxa"/>
            </w:tcMar>
            <w:shd w:fill="F8FAFC"/>
          </w:tcPr>
          <w:p>
            <w:pPr>
              <w:spacing w:before="0" w:after="0"/>
            </w:pPr>
            <w:r>
              <w:rPr>
                <w:rFonts w:ascii="Calibri" w:hAnsi="Calibri"/>
                <w:b/>
                <w:color w:val="1F2937"/>
                <w:sz w:val="17"/>
              </w:rPr>
              <w:t>GET /api/applications</w:t>
            </w:r>
          </w:p>
        </w:tc>
        <w:tc>
          <w:tcPr>
            <w:tcW w:type="dxa" w:w="2016"/>
            <w:tcMar>
              <w:top w:w="60" w:type="dxa"/>
              <w:bottom w:w="60" w:type="dxa"/>
              <w:left w:w="80" w:type="dxa"/>
              <w:right w:w="80" w:type="dxa"/>
            </w:tcMar>
            <w:shd w:fill="F8FAFC"/>
          </w:tcPr>
          <w:p>
            <w:pPr>
              <w:spacing w:before="0" w:after="0"/>
            </w:pPr>
            <w:r>
              <w:rPr>
                <w:rFonts w:ascii="Calibri" w:hAnsi="Calibri"/>
                <w:b w:val="0"/>
                <w:color w:val="1F2937"/>
                <w:sz w:val="17"/>
              </w:rPr>
              <w:t>routes/applications.ts</w:t>
            </w:r>
          </w:p>
        </w:tc>
        <w:tc>
          <w:tcPr>
            <w:tcW w:type="dxa" w:w="1872"/>
            <w:tcMar>
              <w:top w:w="60" w:type="dxa"/>
              <w:bottom w:w="60" w:type="dxa"/>
              <w:left w:w="80" w:type="dxa"/>
              <w:right w:w="80" w:type="dxa"/>
            </w:tcMar>
            <w:shd w:fill="F8FAFC"/>
          </w:tcPr>
          <w:p>
            <w:pPr>
              <w:spacing w:before="0" w:after="0"/>
            </w:pPr>
            <w:r>
              <w:rPr>
                <w:rFonts w:ascii="Calibri" w:hAnsi="Calibri"/>
                <w:b w:val="0"/>
                <w:color w:val="1F2937"/>
                <w:sz w:val="17"/>
              </w:rPr>
              <w:t>Admin / Super Admin</w:t>
            </w:r>
          </w:p>
        </w:tc>
        <w:tc>
          <w:tcPr>
            <w:tcW w:type="dxa" w:w="2880"/>
            <w:tcMar>
              <w:top w:w="60" w:type="dxa"/>
              <w:bottom w:w="60" w:type="dxa"/>
              <w:left w:w="80" w:type="dxa"/>
              <w:right w:w="80" w:type="dxa"/>
            </w:tcMar>
            <w:shd w:fill="F8FAFC"/>
          </w:tcPr>
          <w:p>
            <w:pPr>
              <w:spacing w:before="0" w:after="0"/>
            </w:pPr>
            <w:r>
              <w:rPr>
                <w:rFonts w:ascii="Calibri" w:hAnsi="Calibri"/>
                <w:b w:val="0"/>
                <w:color w:val="1F2937"/>
                <w:sz w:val="17"/>
              </w:rPr>
              <w:t>Fetches filtered applications with role segregation filters.</w:t>
            </w:r>
          </w:p>
        </w:tc>
      </w:tr>
      <w:tr>
        <w:tc>
          <w:tcPr>
            <w:tcW w:type="dxa" w:w="2592"/>
            <w:tcMar>
              <w:top w:w="60" w:type="dxa"/>
              <w:bottom w:w="60" w:type="dxa"/>
              <w:left w:w="80" w:type="dxa"/>
              <w:right w:w="80" w:type="dxa"/>
            </w:tcMar>
            <w:shd w:fill="FFFFFF"/>
          </w:tcPr>
          <w:p>
            <w:pPr>
              <w:spacing w:before="0" w:after="0"/>
            </w:pPr>
            <w:r>
              <w:rPr>
                <w:rFonts w:ascii="Calibri" w:hAnsi="Calibri"/>
                <w:b/>
                <w:color w:val="1F2937"/>
                <w:sz w:val="17"/>
              </w:rPr>
              <w:t>POST /api/applications</w:t>
            </w:r>
          </w:p>
        </w:tc>
        <w:tc>
          <w:tcPr>
            <w:tcW w:type="dxa" w:w="2016"/>
            <w:tcMar>
              <w:top w:w="60" w:type="dxa"/>
              <w:bottom w:w="60" w:type="dxa"/>
              <w:left w:w="80" w:type="dxa"/>
              <w:right w:w="80" w:type="dxa"/>
            </w:tcMar>
            <w:shd w:fill="FFFFFF"/>
          </w:tcPr>
          <w:p>
            <w:pPr>
              <w:spacing w:before="0" w:after="0"/>
            </w:pPr>
            <w:r>
              <w:rPr>
                <w:rFonts w:ascii="Calibri" w:hAnsi="Calibri"/>
                <w:b w:val="0"/>
                <w:color w:val="1F2937"/>
                <w:sz w:val="17"/>
              </w:rPr>
              <w:t>routes/applications.ts</w:t>
            </w:r>
          </w:p>
        </w:tc>
        <w:tc>
          <w:tcPr>
            <w:tcW w:type="dxa" w:w="1872"/>
            <w:tcMar>
              <w:top w:w="60" w:type="dxa"/>
              <w:bottom w:w="60" w:type="dxa"/>
              <w:left w:w="80" w:type="dxa"/>
              <w:right w:w="80" w:type="dxa"/>
            </w:tcMar>
            <w:shd w:fill="FFFFFF"/>
          </w:tcPr>
          <w:p>
            <w:pPr>
              <w:spacing w:before="0" w:after="0"/>
            </w:pPr>
            <w:r>
              <w:rPr>
                <w:rFonts w:ascii="Calibri" w:hAnsi="Calibri"/>
                <w:b w:val="0"/>
                <w:color w:val="1F2937"/>
                <w:sz w:val="17"/>
              </w:rPr>
              <w:t>Applicant (Logged in)</w:t>
            </w:r>
          </w:p>
        </w:tc>
        <w:tc>
          <w:tcPr>
            <w:tcW w:type="dxa" w:w="2880"/>
            <w:tcMar>
              <w:top w:w="60" w:type="dxa"/>
              <w:bottom w:w="60" w:type="dxa"/>
              <w:left w:w="80" w:type="dxa"/>
              <w:right w:w="80" w:type="dxa"/>
            </w:tcMar>
            <w:shd w:fill="FFFFFF"/>
          </w:tcPr>
          <w:p>
            <w:pPr>
              <w:spacing w:before="0" w:after="0"/>
            </w:pPr>
            <w:r>
              <w:rPr>
                <w:rFonts w:ascii="Calibri" w:hAnsi="Calibri"/>
                <w:b w:val="0"/>
                <w:color w:val="1F2937"/>
                <w:sz w:val="17"/>
              </w:rPr>
              <w:t>Submits new license application with Base64 document payload.</w:t>
            </w:r>
          </w:p>
        </w:tc>
      </w:tr>
      <w:tr>
        <w:tc>
          <w:tcPr>
            <w:tcW w:type="dxa" w:w="2592"/>
            <w:tcMar>
              <w:top w:w="60" w:type="dxa"/>
              <w:bottom w:w="60" w:type="dxa"/>
              <w:left w:w="80" w:type="dxa"/>
              <w:right w:w="80" w:type="dxa"/>
            </w:tcMar>
            <w:shd w:fill="F8FAFC"/>
          </w:tcPr>
          <w:p>
            <w:pPr>
              <w:spacing w:before="0" w:after="0"/>
            </w:pPr>
            <w:r>
              <w:rPr>
                <w:rFonts w:ascii="Calibri" w:hAnsi="Calibri"/>
                <w:b/>
                <w:color w:val="1F2937"/>
                <w:sz w:val="17"/>
              </w:rPr>
              <w:t>GET /api/applications/mine</w:t>
            </w:r>
          </w:p>
        </w:tc>
        <w:tc>
          <w:tcPr>
            <w:tcW w:type="dxa" w:w="2016"/>
            <w:tcMar>
              <w:top w:w="60" w:type="dxa"/>
              <w:bottom w:w="60" w:type="dxa"/>
              <w:left w:w="80" w:type="dxa"/>
              <w:right w:w="80" w:type="dxa"/>
            </w:tcMar>
            <w:shd w:fill="F8FAFC"/>
          </w:tcPr>
          <w:p>
            <w:pPr>
              <w:spacing w:before="0" w:after="0"/>
            </w:pPr>
            <w:r>
              <w:rPr>
                <w:rFonts w:ascii="Calibri" w:hAnsi="Calibri"/>
                <w:b w:val="0"/>
                <w:color w:val="1F2937"/>
                <w:sz w:val="17"/>
              </w:rPr>
              <w:t>routes/applications.ts</w:t>
            </w:r>
          </w:p>
        </w:tc>
        <w:tc>
          <w:tcPr>
            <w:tcW w:type="dxa" w:w="1872"/>
            <w:tcMar>
              <w:top w:w="60" w:type="dxa"/>
              <w:bottom w:w="60" w:type="dxa"/>
              <w:left w:w="80" w:type="dxa"/>
              <w:right w:w="80" w:type="dxa"/>
            </w:tcMar>
            <w:shd w:fill="F8FAFC"/>
          </w:tcPr>
          <w:p>
            <w:pPr>
              <w:spacing w:before="0" w:after="0"/>
            </w:pPr>
            <w:r>
              <w:rPr>
                <w:rFonts w:ascii="Calibri" w:hAnsi="Calibri"/>
                <w:b w:val="0"/>
                <w:color w:val="1F2937"/>
                <w:sz w:val="17"/>
              </w:rPr>
              <w:t>Applicant</w:t>
            </w:r>
          </w:p>
        </w:tc>
        <w:tc>
          <w:tcPr>
            <w:tcW w:type="dxa" w:w="2880"/>
            <w:tcMar>
              <w:top w:w="60" w:type="dxa"/>
              <w:bottom w:w="60" w:type="dxa"/>
              <w:left w:w="80" w:type="dxa"/>
              <w:right w:w="80" w:type="dxa"/>
            </w:tcMar>
            <w:shd w:fill="F8FAFC"/>
          </w:tcPr>
          <w:p>
            <w:pPr>
              <w:spacing w:before="0" w:after="0"/>
            </w:pPr>
            <w:r>
              <w:rPr>
                <w:rFonts w:ascii="Calibri" w:hAnsi="Calibri"/>
                <w:b w:val="0"/>
                <w:color w:val="1F2937"/>
                <w:sz w:val="17"/>
              </w:rPr>
              <w:t>Returns personal applications for the applicant dashboard.</w:t>
            </w:r>
          </w:p>
        </w:tc>
      </w:tr>
      <w:tr>
        <w:tc>
          <w:tcPr>
            <w:tcW w:type="dxa" w:w="2592"/>
            <w:tcMar>
              <w:top w:w="60" w:type="dxa"/>
              <w:bottom w:w="60" w:type="dxa"/>
              <w:left w:w="80" w:type="dxa"/>
              <w:right w:w="80" w:type="dxa"/>
            </w:tcMar>
            <w:shd w:fill="FFFFFF"/>
          </w:tcPr>
          <w:p>
            <w:pPr>
              <w:spacing w:before="0" w:after="0"/>
            </w:pPr>
            <w:r>
              <w:rPr>
                <w:rFonts w:ascii="Calibri" w:hAnsi="Calibri"/>
                <w:b/>
                <w:color w:val="1F2937"/>
                <w:sz w:val="17"/>
              </w:rPr>
              <w:t>PATCH /api/applications/:id</w:t>
            </w:r>
          </w:p>
        </w:tc>
        <w:tc>
          <w:tcPr>
            <w:tcW w:type="dxa" w:w="2016"/>
            <w:tcMar>
              <w:top w:w="60" w:type="dxa"/>
              <w:bottom w:w="60" w:type="dxa"/>
              <w:left w:w="80" w:type="dxa"/>
              <w:right w:w="80" w:type="dxa"/>
            </w:tcMar>
            <w:shd w:fill="FFFFFF"/>
          </w:tcPr>
          <w:p>
            <w:pPr>
              <w:spacing w:before="0" w:after="0"/>
            </w:pPr>
            <w:r>
              <w:rPr>
                <w:rFonts w:ascii="Calibri" w:hAnsi="Calibri"/>
                <w:b w:val="0"/>
                <w:color w:val="1F2937"/>
                <w:sz w:val="17"/>
              </w:rPr>
              <w:t>routes/applications.ts</w:t>
            </w:r>
          </w:p>
        </w:tc>
        <w:tc>
          <w:tcPr>
            <w:tcW w:type="dxa" w:w="1872"/>
            <w:tcMar>
              <w:top w:w="60" w:type="dxa"/>
              <w:bottom w:w="60" w:type="dxa"/>
              <w:left w:w="80" w:type="dxa"/>
              <w:right w:w="80" w:type="dxa"/>
            </w:tcMar>
            <w:shd w:fill="FFFFFF"/>
          </w:tcPr>
          <w:p>
            <w:pPr>
              <w:spacing w:before="0" w:after="0"/>
            </w:pPr>
            <w:r>
              <w:rPr>
                <w:rFonts w:ascii="Calibri" w:hAnsi="Calibri"/>
                <w:b w:val="0"/>
                <w:color w:val="1F2937"/>
                <w:sz w:val="17"/>
              </w:rPr>
              <w:t>Admin / Super Admin</w:t>
            </w:r>
          </w:p>
        </w:tc>
        <w:tc>
          <w:tcPr>
            <w:tcW w:type="dxa" w:w="2880"/>
            <w:tcMar>
              <w:top w:w="60" w:type="dxa"/>
              <w:bottom w:w="60" w:type="dxa"/>
              <w:left w:w="80" w:type="dxa"/>
              <w:right w:w="80" w:type="dxa"/>
            </w:tcMar>
            <w:shd w:fill="FFFFFF"/>
          </w:tcPr>
          <w:p>
            <w:pPr>
              <w:spacing w:before="0" w:after="0"/>
            </w:pPr>
            <w:r>
              <w:rPr>
                <w:rFonts w:ascii="Calibri" w:hAnsi="Calibri"/>
                <w:b w:val="0"/>
                <w:color w:val="1F2937"/>
                <w:sz w:val="17"/>
              </w:rPr>
              <w:t>Transitions application status; enforces mandatory rejection notes.</w:t>
            </w:r>
          </w:p>
        </w:tc>
      </w:tr>
      <w:tr>
        <w:tc>
          <w:tcPr>
            <w:tcW w:type="dxa" w:w="2592"/>
            <w:tcMar>
              <w:top w:w="60" w:type="dxa"/>
              <w:bottom w:w="60" w:type="dxa"/>
              <w:left w:w="80" w:type="dxa"/>
              <w:right w:w="80" w:type="dxa"/>
            </w:tcMar>
            <w:shd w:fill="F8FAFC"/>
          </w:tcPr>
          <w:p>
            <w:pPr>
              <w:spacing w:before="0" w:after="0"/>
            </w:pPr>
            <w:r>
              <w:rPr>
                <w:rFonts w:ascii="Calibri" w:hAnsi="Calibri"/>
                <w:b/>
                <w:color w:val="1F2937"/>
                <w:sz w:val="17"/>
              </w:rPr>
              <w:t>GET /api/verify?id=...</w:t>
            </w:r>
          </w:p>
        </w:tc>
        <w:tc>
          <w:tcPr>
            <w:tcW w:type="dxa" w:w="2016"/>
            <w:tcMar>
              <w:top w:w="60" w:type="dxa"/>
              <w:bottom w:w="60" w:type="dxa"/>
              <w:left w:w="80" w:type="dxa"/>
              <w:right w:w="80" w:type="dxa"/>
            </w:tcMar>
            <w:shd w:fill="F8FAFC"/>
          </w:tcPr>
          <w:p>
            <w:pPr>
              <w:spacing w:before="0" w:after="0"/>
            </w:pPr>
            <w:r>
              <w:rPr>
                <w:rFonts w:ascii="Calibri" w:hAnsi="Calibri"/>
                <w:b w:val="0"/>
                <w:color w:val="1F2937"/>
                <w:sz w:val="17"/>
              </w:rPr>
              <w:t>routes/verify.ts</w:t>
            </w:r>
          </w:p>
        </w:tc>
        <w:tc>
          <w:tcPr>
            <w:tcW w:type="dxa" w:w="1872"/>
            <w:tcMar>
              <w:top w:w="60" w:type="dxa"/>
              <w:bottom w:w="60" w:type="dxa"/>
              <w:left w:w="80" w:type="dxa"/>
              <w:right w:w="80" w:type="dxa"/>
            </w:tcMar>
            <w:shd w:fill="F8FAFC"/>
          </w:tcPr>
          <w:p>
            <w:pPr>
              <w:spacing w:before="0" w:after="0"/>
            </w:pPr>
            <w:r>
              <w:rPr>
                <w:rFonts w:ascii="Calibri" w:hAnsi="Calibri"/>
                <w:b w:val="0"/>
                <w:color w:val="1F2937"/>
                <w:sz w:val="17"/>
              </w:rPr>
              <w:t>Public (Anyone)</w:t>
            </w:r>
          </w:p>
        </w:tc>
        <w:tc>
          <w:tcPr>
            <w:tcW w:type="dxa" w:w="2880"/>
            <w:tcMar>
              <w:top w:w="60" w:type="dxa"/>
              <w:bottom w:w="60" w:type="dxa"/>
              <w:left w:w="80" w:type="dxa"/>
              <w:right w:w="80" w:type="dxa"/>
            </w:tcMar>
            <w:shd w:fill="F8FAFC"/>
          </w:tcPr>
          <w:p>
            <w:pPr>
              <w:spacing w:before="0" w:after="0"/>
            </w:pPr>
            <w:r>
              <w:rPr>
                <w:rFonts w:ascii="Calibri" w:hAnsi="Calibri"/>
                <w:b w:val="0"/>
                <w:color w:val="1F2937"/>
                <w:sz w:val="17"/>
              </w:rPr>
              <w:t>Validates QR certificate authenticity and expiration date.</w:t>
            </w:r>
          </w:p>
        </w:tc>
      </w:tr>
      <w:tr>
        <w:tc>
          <w:tcPr>
            <w:tcW w:type="dxa" w:w="2592"/>
            <w:tcMar>
              <w:top w:w="60" w:type="dxa"/>
              <w:bottom w:w="60" w:type="dxa"/>
              <w:left w:w="80" w:type="dxa"/>
              <w:right w:w="80" w:type="dxa"/>
            </w:tcMar>
            <w:shd w:fill="FFFFFF"/>
          </w:tcPr>
          <w:p>
            <w:pPr>
              <w:spacing w:before="0" w:after="0"/>
            </w:pPr>
            <w:r>
              <w:rPr>
                <w:rFonts w:ascii="Calibri" w:hAnsi="Calibri"/>
                <w:b/>
                <w:color w:val="1F2937"/>
                <w:sz w:val="17"/>
              </w:rPr>
              <w:t>GET /api/metrics</w:t>
            </w:r>
          </w:p>
        </w:tc>
        <w:tc>
          <w:tcPr>
            <w:tcW w:type="dxa" w:w="2016"/>
            <w:tcMar>
              <w:top w:w="60" w:type="dxa"/>
              <w:bottom w:w="60" w:type="dxa"/>
              <w:left w:w="80" w:type="dxa"/>
              <w:right w:w="80" w:type="dxa"/>
            </w:tcMar>
            <w:shd w:fill="FFFFFF"/>
          </w:tcPr>
          <w:p>
            <w:pPr>
              <w:spacing w:before="0" w:after="0"/>
            </w:pPr>
            <w:r>
              <w:rPr>
                <w:rFonts w:ascii="Calibri" w:hAnsi="Calibri"/>
                <w:b w:val="0"/>
                <w:color w:val="1F2937"/>
                <w:sz w:val="17"/>
              </w:rPr>
              <w:t>routes/metrics.ts</w:t>
            </w:r>
          </w:p>
        </w:tc>
        <w:tc>
          <w:tcPr>
            <w:tcW w:type="dxa" w:w="1872"/>
            <w:tcMar>
              <w:top w:w="60" w:type="dxa"/>
              <w:bottom w:w="60" w:type="dxa"/>
              <w:left w:w="80" w:type="dxa"/>
              <w:right w:w="80" w:type="dxa"/>
            </w:tcMar>
            <w:shd w:fill="FFFFFF"/>
          </w:tcPr>
          <w:p>
            <w:pPr>
              <w:spacing w:before="0" w:after="0"/>
            </w:pPr>
            <w:r>
              <w:rPr>
                <w:rFonts w:ascii="Calibri" w:hAnsi="Calibri"/>
                <w:b w:val="0"/>
                <w:color w:val="1F2937"/>
                <w:sz w:val="17"/>
              </w:rPr>
              <w:t>Admin / Super Admin</w:t>
            </w:r>
          </w:p>
        </w:tc>
        <w:tc>
          <w:tcPr>
            <w:tcW w:type="dxa" w:w="2880"/>
            <w:tcMar>
              <w:top w:w="60" w:type="dxa"/>
              <w:bottom w:w="60" w:type="dxa"/>
              <w:left w:w="80" w:type="dxa"/>
              <w:right w:w="80" w:type="dxa"/>
            </w:tcMar>
            <w:shd w:fill="FFFFFF"/>
          </w:tcPr>
          <w:p>
            <w:pPr>
              <w:spacing w:before="0" w:after="0"/>
            </w:pPr>
            <w:r>
              <w:rPr>
                <w:rFonts w:ascii="Calibri" w:hAnsi="Calibri"/>
                <w:b w:val="0"/>
                <w:color w:val="1F2937"/>
                <w:sz w:val="17"/>
              </w:rPr>
              <w:t>Aggregates 7-day intake timeseries and category distribution.</w:t>
            </w:r>
          </w:p>
        </w:tc>
      </w:tr>
      <w:tr>
        <w:tc>
          <w:tcPr>
            <w:tcW w:type="dxa" w:w="2592"/>
            <w:tcMar>
              <w:top w:w="60" w:type="dxa"/>
              <w:bottom w:w="60" w:type="dxa"/>
              <w:left w:w="80" w:type="dxa"/>
              <w:right w:w="80" w:type="dxa"/>
            </w:tcMar>
            <w:shd w:fill="F8FAFC"/>
          </w:tcPr>
          <w:p>
            <w:pPr>
              <w:spacing w:before="0" w:after="0"/>
            </w:pPr>
            <w:r>
              <w:rPr>
                <w:rFonts w:ascii="Calibri" w:hAnsi="Calibri"/>
                <w:b/>
                <w:color w:val="1F2937"/>
                <w:sz w:val="17"/>
              </w:rPr>
              <w:t>GET /api/audit</w:t>
            </w:r>
          </w:p>
        </w:tc>
        <w:tc>
          <w:tcPr>
            <w:tcW w:type="dxa" w:w="2016"/>
            <w:tcMar>
              <w:top w:w="60" w:type="dxa"/>
              <w:bottom w:w="60" w:type="dxa"/>
              <w:left w:w="80" w:type="dxa"/>
              <w:right w:w="80" w:type="dxa"/>
            </w:tcMar>
            <w:shd w:fill="F8FAFC"/>
          </w:tcPr>
          <w:p>
            <w:pPr>
              <w:spacing w:before="0" w:after="0"/>
            </w:pPr>
            <w:r>
              <w:rPr>
                <w:rFonts w:ascii="Calibri" w:hAnsi="Calibri"/>
                <w:b w:val="0"/>
                <w:color w:val="1F2937"/>
                <w:sz w:val="17"/>
              </w:rPr>
              <w:t>routes/audit.ts</w:t>
            </w:r>
          </w:p>
        </w:tc>
        <w:tc>
          <w:tcPr>
            <w:tcW w:type="dxa" w:w="1872"/>
            <w:tcMar>
              <w:top w:w="60" w:type="dxa"/>
              <w:bottom w:w="60" w:type="dxa"/>
              <w:left w:w="80" w:type="dxa"/>
              <w:right w:w="80" w:type="dxa"/>
            </w:tcMar>
            <w:shd w:fill="F8FAFC"/>
          </w:tcPr>
          <w:p>
            <w:pPr>
              <w:spacing w:before="0" w:after="0"/>
            </w:pPr>
            <w:r>
              <w:rPr>
                <w:rFonts w:ascii="Calibri" w:hAnsi="Calibri"/>
                <w:b w:val="0"/>
                <w:color w:val="1F2937"/>
                <w:sz w:val="17"/>
              </w:rPr>
              <w:t>Admin / Super Admin</w:t>
            </w:r>
          </w:p>
        </w:tc>
        <w:tc>
          <w:tcPr>
            <w:tcW w:type="dxa" w:w="2880"/>
            <w:tcMar>
              <w:top w:w="60" w:type="dxa"/>
              <w:bottom w:w="60" w:type="dxa"/>
              <w:left w:w="80" w:type="dxa"/>
              <w:right w:w="80" w:type="dxa"/>
            </w:tcMar>
            <w:shd w:fill="F8FAFC"/>
          </w:tcPr>
          <w:p>
            <w:pPr>
              <w:spacing w:before="0" w:after="0"/>
            </w:pPr>
            <w:r>
              <w:rPr>
                <w:rFonts w:ascii="Calibri" w:hAnsi="Calibri"/>
                <w:b w:val="0"/>
                <w:color w:val="1F2937"/>
                <w:sz w:val="17"/>
              </w:rPr>
              <w:t>Returns chronological immutable audit logs of privileged events.</w:t>
            </w:r>
          </w:p>
        </w:tc>
      </w:tr>
      <w:tr>
        <w:tc>
          <w:tcPr>
            <w:tcW w:type="dxa" w:w="2592"/>
            <w:tcMar>
              <w:top w:w="60" w:type="dxa"/>
              <w:bottom w:w="60" w:type="dxa"/>
              <w:left w:w="80" w:type="dxa"/>
              <w:right w:w="80" w:type="dxa"/>
            </w:tcMar>
            <w:shd w:fill="FFFFFF"/>
          </w:tcPr>
          <w:p>
            <w:pPr>
              <w:spacing w:before="0" w:after="0"/>
            </w:pPr>
            <w:r>
              <w:rPr>
                <w:rFonts w:ascii="Calibri" w:hAnsi="Calibri"/>
                <w:b/>
                <w:color w:val="1F2937"/>
                <w:sz w:val="17"/>
              </w:rPr>
              <w:t>PATCH /api/profile</w:t>
            </w:r>
          </w:p>
        </w:tc>
        <w:tc>
          <w:tcPr>
            <w:tcW w:type="dxa" w:w="2016"/>
            <w:tcMar>
              <w:top w:w="60" w:type="dxa"/>
              <w:bottom w:w="60" w:type="dxa"/>
              <w:left w:w="80" w:type="dxa"/>
              <w:right w:w="80" w:type="dxa"/>
            </w:tcMar>
            <w:shd w:fill="FFFFFF"/>
          </w:tcPr>
          <w:p>
            <w:pPr>
              <w:spacing w:before="0" w:after="0"/>
            </w:pPr>
            <w:r>
              <w:rPr>
                <w:rFonts w:ascii="Calibri" w:hAnsi="Calibri"/>
                <w:b w:val="0"/>
                <w:color w:val="1F2937"/>
                <w:sz w:val="17"/>
              </w:rPr>
              <w:t>routes/profile.ts</w:t>
            </w:r>
          </w:p>
        </w:tc>
        <w:tc>
          <w:tcPr>
            <w:tcW w:type="dxa" w:w="1872"/>
            <w:tcMar>
              <w:top w:w="60" w:type="dxa"/>
              <w:bottom w:w="60" w:type="dxa"/>
              <w:left w:w="80" w:type="dxa"/>
              <w:right w:w="80" w:type="dxa"/>
            </w:tcMar>
            <w:shd w:fill="FFFFFF"/>
          </w:tcPr>
          <w:p>
            <w:pPr>
              <w:spacing w:before="0" w:after="0"/>
            </w:pPr>
            <w:r>
              <w:rPr>
                <w:rFonts w:ascii="Calibri" w:hAnsi="Calibri"/>
                <w:b w:val="0"/>
                <w:color w:val="1F2937"/>
                <w:sz w:val="17"/>
              </w:rPr>
              <w:t>Super Admin Only</w:t>
            </w:r>
          </w:p>
        </w:tc>
        <w:tc>
          <w:tcPr>
            <w:tcW w:type="dxa" w:w="2880"/>
            <w:tcMar>
              <w:top w:w="60" w:type="dxa"/>
              <w:bottom w:w="60" w:type="dxa"/>
              <w:left w:w="80" w:type="dxa"/>
              <w:right w:w="80" w:type="dxa"/>
            </w:tcMar>
            <w:shd w:fill="FFFFFF"/>
          </w:tcPr>
          <w:p>
            <w:pPr>
              <w:spacing w:before="0" w:after="0"/>
            </w:pPr>
            <w:r>
              <w:rPr>
                <w:rFonts w:ascii="Calibri" w:hAnsi="Calibri"/>
                <w:b w:val="0"/>
                <w:color w:val="1F2937"/>
                <w:sz w:val="17"/>
              </w:rPr>
              <w:t>Uploads official ministry stamp and digital signature assets.</w:t>
            </w:r>
          </w:p>
        </w:tc>
      </w:tr>
    </w:tbl>
    <w:p>
      <w:pPr>
        <w:spacing w:after="160"/>
      </w:pPr>
    </w:p>
    <w:p>
      <w:pPr>
        <w:keepNext/>
        <w:spacing w:before="360" w:after="120"/>
      </w:pPr>
      <w:r>
        <w:rPr>
          <w:rFonts w:ascii="Calibri" w:hAnsi="Calibri"/>
          <w:b/>
          <w:color w:val="0F6B4A"/>
          <w:sz w:val="32"/>
        </w:rPr>
        <w:t>5. Database Architecture &amp; Relational Data Modeling</w:t>
      </w:r>
    </w:p>
    <w:p>
      <w:pPr>
        <w:spacing w:before="0" w:after="100" w:line="276" w:lineRule="auto"/>
      </w:pPr>
      <w:r>
        <w:rPr>
          <w:rFonts w:ascii="Calibri" w:hAnsi="Calibri"/>
          <w:color w:val="1F2937"/>
          <w:sz w:val="21"/>
        </w:rPr>
        <w:t>The relational database is managed using Prisma ORM with a PostgreSQL backend (hosted on Neon serverless). The schema (backend/prisma/schema.prisma) defines five primary models:</w:t>
      </w:r>
    </w:p>
    <w:p>
      <w:pPr>
        <w:keepNext/>
        <w:spacing w:before="260" w:after="80"/>
      </w:pPr>
      <w:r>
        <w:rPr>
          <w:rFonts w:ascii="Calibri" w:hAnsi="Calibri"/>
          <w:b/>
          <w:color w:val="C89B3C"/>
          <w:sz w:val="26"/>
        </w:rPr>
        <w:t>5.1 Prisma Schema Models Breakdown</w:t>
      </w:r>
    </w:p>
    <w:p>
      <w:pPr>
        <w:pStyle w:val="ListBullet"/>
        <w:spacing w:before="0" w:after="60" w:line="269" w:lineRule="auto"/>
        <w:ind w:left="360"/>
      </w:pPr>
      <w:r>
        <w:rPr>
          <w:rFonts w:ascii="Calibri" w:hAnsi="Calibri"/>
          <w:b/>
          <w:color w:val="1F2937"/>
          <w:sz w:val="21"/>
        </w:rPr>
        <w:t xml:space="preserve">User Model: </w:t>
      </w:r>
      <w:r>
        <w:rPr>
          <w:rFonts w:ascii="Calibri" w:hAnsi="Calibri"/>
          <w:color w:val="1F2937"/>
          <w:sz w:val="21"/>
        </w:rPr>
        <w:t>Stores credentials and profile data. Attributes include email (unique index), password (salt:hash), role (super_admin, admin, applicant), failedLoginAttempts, lockedUntil, stampUrl, and signatureUrl.</w:t>
      </w:r>
    </w:p>
    <w:p>
      <w:pPr>
        <w:pStyle w:val="ListBullet"/>
        <w:spacing w:before="0" w:after="60" w:line="269" w:lineRule="auto"/>
        <w:ind w:left="360"/>
      </w:pPr>
      <w:r>
        <w:rPr>
          <w:rFonts w:ascii="Calibri" w:hAnsi="Calibri"/>
          <w:b/>
          <w:color w:val="1F2937"/>
          <w:sz w:val="21"/>
        </w:rPr>
        <w:t xml:space="preserve">Application Model: </w:t>
      </w:r>
      <w:r>
        <w:rPr>
          <w:rFonts w:ascii="Calibri" w:hAnsi="Calibri"/>
          <w:color w:val="1F2937"/>
          <w:sz w:val="21"/>
        </w:rPr>
        <w:t>Captures the core license request. Attributes: categoryCode, categoryNum, categoryTitle, applicantType (individual/org), contactName, email, phone, region, city, addressLine, tinNumber, nationalId (16-digit), readinessPercent, uploadedDocuments, status (submitted, under_review, reviewed, approved, rejected, revoked), reviewNote, and foreign keys submittedById and reviewedById.</w:t>
      </w:r>
    </w:p>
    <w:p>
      <w:pPr>
        <w:pStyle w:val="ListBullet"/>
        <w:spacing w:before="0" w:after="60" w:line="269" w:lineRule="auto"/>
        <w:ind w:left="360"/>
      </w:pPr>
      <w:r>
        <w:rPr>
          <w:rFonts w:ascii="Calibri" w:hAnsi="Calibri"/>
          <w:b/>
          <w:color w:val="1F2937"/>
          <w:sz w:val="21"/>
        </w:rPr>
        <w:t xml:space="preserve">News Model: </w:t>
      </w:r>
      <w:r>
        <w:rPr>
          <w:rFonts w:ascii="Calibri" w:hAnsi="Calibri"/>
          <w:color w:val="1F2937"/>
          <w:sz w:val="21"/>
        </w:rPr>
        <w:t>Bilingual public notices. Attributes: titleEn, titleAm, bodyEn, bodyAm, category, pinned, published, publishedAt.</w:t>
      </w:r>
    </w:p>
    <w:p>
      <w:pPr>
        <w:pStyle w:val="ListBullet"/>
        <w:spacing w:before="0" w:after="60" w:line="269" w:lineRule="auto"/>
        <w:ind w:left="360"/>
      </w:pPr>
      <w:r>
        <w:rPr>
          <w:rFonts w:ascii="Calibri" w:hAnsi="Calibri"/>
          <w:b/>
          <w:color w:val="1F2937"/>
          <w:sz w:val="21"/>
        </w:rPr>
        <w:t xml:space="preserve">Notification Model: </w:t>
      </w:r>
      <w:r>
        <w:rPr>
          <w:rFonts w:ascii="Calibri" w:hAnsi="Calibri"/>
          <w:color w:val="1F2937"/>
          <w:sz w:val="21"/>
        </w:rPr>
        <w:t>In-app notifications delivered to users when application statuses change or news is published. Linked via onDelete: Cascade to users.</w:t>
      </w:r>
    </w:p>
    <w:p>
      <w:pPr>
        <w:pStyle w:val="ListBullet"/>
        <w:spacing w:before="0" w:after="60" w:line="269" w:lineRule="auto"/>
        <w:ind w:left="360"/>
      </w:pPr>
      <w:r>
        <w:rPr>
          <w:rFonts w:ascii="Calibri" w:hAnsi="Calibri"/>
          <w:b/>
          <w:color w:val="1F2937"/>
          <w:sz w:val="21"/>
        </w:rPr>
        <w:t xml:space="preserve">AuditLog Model: </w:t>
      </w:r>
      <w:r>
        <w:rPr>
          <w:rFonts w:ascii="Calibri" w:hAnsi="Calibri"/>
          <w:color w:val="1F2937"/>
          <w:sz w:val="21"/>
        </w:rPr>
        <w:t>Immutable administrative security trail. Attributes: actorId, action (e.g. application.approve), target, detail, ip, and createdAt.</w:t>
      </w:r>
    </w:p>
    <w:p>
      <w:pPr>
        <w:keepNext/>
        <w:spacing w:before="360" w:after="120"/>
      </w:pPr>
      <w:r>
        <w:rPr>
          <w:rFonts w:ascii="Calibri" w:hAnsi="Calibri"/>
          <w:b/>
          <w:color w:val="0F6B4A"/>
          <w:sz w:val="32"/>
        </w:rPr>
        <w:t>6. Security Engineering &amp; Defensive Mechanisms</w:t>
      </w:r>
    </w:p>
    <w:p>
      <w:pPr>
        <w:spacing w:before="0" w:after="100" w:line="276" w:lineRule="auto"/>
      </w:pPr>
      <w:r>
        <w:rPr>
          <w:rFonts w:ascii="Calibri" w:hAnsi="Calibri"/>
          <w:color w:val="1F2937"/>
          <w:sz w:val="21"/>
        </w:rPr>
        <w:t>When professors evaluate an internship or capstone project, security is invariably the most heavily scrutinized area. The MCIT Portal implements defense-in-depth across every architectural layer:</w:t>
      </w:r>
    </w:p>
    <w:p>
      <w:pPr>
        <w:keepNext/>
        <w:spacing w:before="260" w:after="80"/>
      </w:pPr>
      <w:r>
        <w:rPr>
          <w:rFonts w:ascii="Calibri" w:hAnsi="Calibri"/>
          <w:b/>
          <w:color w:val="C89B3C"/>
          <w:sz w:val="26"/>
        </w:rPr>
        <w:t>6.1 Cryptographic Password Hashing (backend/src/lib/password.ts)</w:t>
      </w:r>
    </w:p>
    <w:p>
      <w:pPr>
        <w:spacing w:before="0" w:after="100" w:line="276" w:lineRule="auto"/>
      </w:pPr>
      <w:r>
        <w:rPr>
          <w:rFonts w:ascii="Calibri" w:hAnsi="Calibri"/>
          <w:color w:val="1F2937"/>
          <w:sz w:val="21"/>
        </w:rPr>
        <w:t>Rather than relying on outdated MD5 or SHA-256 (which can be brute-forced at billions of hashes per second using GPUs), the portal implements standard PBKDF2 (Password-Based Key Derivation Function 2) using Node's crypto library:</w:t>
      </w:r>
    </w:p>
    <w:p>
      <w:pPr>
        <w:pStyle w:val="ListBullet"/>
        <w:spacing w:before="0" w:after="60" w:line="269" w:lineRule="auto"/>
        <w:ind w:left="360"/>
      </w:pPr>
      <w:r>
        <w:rPr>
          <w:rFonts w:ascii="Calibri" w:hAnsi="Calibri"/>
          <w:b/>
          <w:color w:val="1F2937"/>
          <w:sz w:val="21"/>
        </w:rPr>
        <w:t xml:space="preserve">Cryptographic Salt: </w:t>
      </w:r>
      <w:r>
        <w:rPr>
          <w:rFonts w:ascii="Calibri" w:hAnsi="Calibri"/>
          <w:color w:val="1F2937"/>
          <w:sz w:val="21"/>
        </w:rPr>
        <w:t>32 bytes generated via crypto.randomBytes(32), preventing Rainbow Table attacks.</w:t>
      </w:r>
    </w:p>
    <w:p>
      <w:pPr>
        <w:pStyle w:val="ListBullet"/>
        <w:spacing w:before="0" w:after="60" w:line="269" w:lineRule="auto"/>
        <w:ind w:left="360"/>
      </w:pPr>
      <w:r>
        <w:rPr>
          <w:rFonts w:ascii="Calibri" w:hAnsi="Calibri"/>
          <w:b/>
          <w:color w:val="1F2937"/>
          <w:sz w:val="21"/>
        </w:rPr>
        <w:t xml:space="preserve">Iteration Count: </w:t>
      </w:r>
      <w:r>
        <w:rPr>
          <w:rFonts w:ascii="Calibri" w:hAnsi="Calibri"/>
          <w:color w:val="1F2937"/>
          <w:sz w:val="21"/>
        </w:rPr>
        <w:t>100,000 rounds of HMAC-SHA-512, computationally exhausting attackers attempting offline dictionary attacks.</w:t>
      </w:r>
    </w:p>
    <w:p>
      <w:pPr>
        <w:pStyle w:val="ListBullet"/>
        <w:spacing w:before="0" w:after="60" w:line="269" w:lineRule="auto"/>
        <w:ind w:left="360"/>
      </w:pPr>
      <w:r>
        <w:rPr>
          <w:rFonts w:ascii="Calibri" w:hAnsi="Calibri"/>
          <w:b/>
          <w:color w:val="1F2937"/>
          <w:sz w:val="21"/>
        </w:rPr>
        <w:t xml:space="preserve">Storage Format: </w:t>
      </w:r>
      <w:r>
        <w:rPr>
          <w:rFonts w:ascii="Calibri" w:hAnsi="Calibri"/>
          <w:color w:val="1F2937"/>
          <w:sz w:val="21"/>
        </w:rPr>
        <w:t>Stored in the database as 'salt:hash' in hex formatting.</w:t>
      </w:r>
    </w:p>
    <w:p>
      <w:pPr>
        <w:keepNext/>
        <w:spacing w:before="260" w:after="80"/>
      </w:pPr>
      <w:r>
        <w:rPr>
          <w:rFonts w:ascii="Calibri" w:hAnsi="Calibri"/>
          <w:b/>
          <w:color w:val="C89B3C"/>
          <w:sz w:val="26"/>
        </w:rPr>
        <w:t>6.2 Prevention of Timing Attacks (crypto.timingSafeEqual)</w:t>
      </w:r>
    </w:p>
    <w:p>
      <w:pPr>
        <w:spacing w:before="0" w:after="100" w:line="276" w:lineRule="auto"/>
      </w:pPr>
      <w:r>
        <w:rPr>
          <w:rFonts w:ascii="Calibri" w:hAnsi="Calibri"/>
          <w:color w:val="1F2937"/>
          <w:sz w:val="21"/>
        </w:rPr>
        <w:t>In standard string comparison (a === b), the comparison terminates at the first non-matching character. An attacker measuring response latency down to nanoseconds can deduce character by character. Our system mitigates this by converting both hashes to Buffers and executing crypto.timingSafeEqual(a, b), ensuring constant-time evaluation regardless of where mismatches occur.</w:t>
      </w:r>
    </w:p>
    <w:p>
      <w:pPr>
        <w:keepNext/>
        <w:spacing w:before="260" w:after="80"/>
      </w:pPr>
      <w:r>
        <w:rPr>
          <w:rFonts w:ascii="Calibri" w:hAnsi="Calibri"/>
          <w:b/>
          <w:color w:val="C89B3C"/>
          <w:sz w:val="26"/>
        </w:rPr>
        <w:t>6.3 Account Lockout &amp; Sliding-Window IP Rate Limiting</w:t>
      </w:r>
    </w:p>
    <w:p>
      <w:pPr>
        <w:pStyle w:val="ListBullet"/>
        <w:spacing w:before="0" w:after="60" w:line="269" w:lineRule="auto"/>
        <w:ind w:left="360"/>
      </w:pPr>
      <w:r>
        <w:rPr>
          <w:rFonts w:ascii="Calibri" w:hAnsi="Calibri"/>
          <w:b/>
          <w:color w:val="1F2937"/>
          <w:sz w:val="21"/>
        </w:rPr>
        <w:t xml:space="preserve">Brute-Force Account Lockout: </w:t>
      </w:r>
      <w:r>
        <w:rPr>
          <w:rFonts w:ascii="Calibri" w:hAnsi="Calibri"/>
          <w:color w:val="1F2937"/>
          <w:sz w:val="21"/>
        </w:rPr>
        <w:t>Tracks failedLoginAttempts on the User table. Upon reaching 5 consecutive failures, lockedUntil is set to Date.now() + 15 minutes. Even if the correct password is submitted during this window, HTTP 403 Forbidden is returned.</w:t>
      </w:r>
    </w:p>
    <w:p>
      <w:pPr>
        <w:pStyle w:val="ListBullet"/>
        <w:spacing w:before="0" w:after="60" w:line="269" w:lineRule="auto"/>
        <w:ind w:left="360"/>
      </w:pPr>
      <w:r>
        <w:rPr>
          <w:rFonts w:ascii="Calibri" w:hAnsi="Calibri"/>
          <w:b/>
          <w:color w:val="1F2937"/>
          <w:sz w:val="21"/>
        </w:rPr>
        <w:t xml:space="preserve">Sliding-Window Rate Limiter: </w:t>
      </w:r>
      <w:r>
        <w:rPr>
          <w:rFonts w:ascii="Calibri" w:hAnsi="Calibri"/>
          <w:color w:val="1F2937"/>
          <w:sz w:val="21"/>
        </w:rPr>
        <w:t>Implemented in backend/src/lib/rate-limit.ts. Limits /api/auth/login to 10 requests per 15 minutes per IP, and /api/auth/signup to 5 requests per hour. Sends HTTP 429 and Retry-After headers when exceeded.</w:t>
      </w:r>
    </w:p>
    <w:p>
      <w:pPr>
        <w:keepNext/>
        <w:spacing w:before="260" w:after="80"/>
      </w:pPr>
      <w:r>
        <w:rPr>
          <w:rFonts w:ascii="Calibri" w:hAnsi="Calibri"/>
          <w:b/>
          <w:color w:val="C89B3C"/>
          <w:sz w:val="26"/>
        </w:rPr>
        <w:t>6.4 Statutory Protections &amp; State Monopoly Safeguards</w:t>
      </w:r>
    </w:p>
    <w:p>
      <w:pPr>
        <w:spacing w:before="0" w:after="100" w:line="276" w:lineRule="auto"/>
      </w:pPr>
      <w:r>
        <w:rPr>
          <w:rFonts w:ascii="Calibri" w:hAnsi="Calibri"/>
          <w:color w:val="1F2937"/>
          <w:sz w:val="21"/>
        </w:rPr>
        <w:t>Under Ethiopian law, specific ICT sectors (Category #25 and Category #28, covering core telecommunications infrastructure) are reserved strictly for the state enterprise (Ethio Telecom). The portal enforces this programmatically:</w:t>
      </w:r>
    </w:p>
    <w:p>
      <w:pPr>
        <w:pStyle w:val="ListBullet"/>
        <w:spacing w:before="0" w:after="60" w:line="269" w:lineRule="auto"/>
        <w:ind w:left="360"/>
      </w:pPr>
      <w:r>
        <w:rPr>
          <w:rFonts w:ascii="Calibri" w:hAnsi="Calibri"/>
          <w:b/>
          <w:color w:val="1F2937"/>
          <w:sz w:val="21"/>
        </w:rPr>
        <w:t xml:space="preserve">Frontend Guard: </w:t>
      </w:r>
      <w:r>
        <w:rPr>
          <w:rFonts w:ascii="Calibri" w:hAnsi="Calibri"/>
          <w:color w:val="1F2937"/>
          <w:sz w:val="21"/>
        </w:rPr>
        <w:t>Categories 25 and 28 display an explicit badge and disable the 'Apply' button.</w:t>
      </w:r>
    </w:p>
    <w:p>
      <w:pPr>
        <w:pStyle w:val="ListBullet"/>
        <w:spacing w:before="0" w:after="60" w:line="269" w:lineRule="auto"/>
        <w:ind w:left="360"/>
      </w:pPr>
      <w:r>
        <w:rPr>
          <w:rFonts w:ascii="Calibri" w:hAnsi="Calibri"/>
          <w:b/>
          <w:color w:val="1F2937"/>
          <w:sz w:val="21"/>
        </w:rPr>
        <w:t xml:space="preserve">Backend Enforcement: </w:t>
      </w:r>
      <w:r>
        <w:rPr>
          <w:rFonts w:ascii="Calibri" w:hAnsi="Calibri"/>
          <w:color w:val="1F2937"/>
          <w:sz w:val="21"/>
        </w:rPr>
        <w:t>backend/src/routes/applications.ts explicitly rejects any POST payload containing categoryNum === 25 or 28 with HTTP 403, preventing forged API requests from bypassing the UI.</w:t>
      </w:r>
    </w:p>
    <w:p>
      <w:pPr>
        <w:keepNext/>
        <w:spacing w:before="360" w:after="120"/>
      </w:pPr>
      <w:r>
        <w:rPr>
          <w:rFonts w:ascii="Calibri" w:hAnsi="Calibri"/>
          <w:b/>
          <w:color w:val="0F6B4A"/>
          <w:sz w:val="32"/>
        </w:rPr>
        <w:t>7. Core Business Workflows &amp; Digital Certificate Engine</w:t>
      </w:r>
    </w:p>
    <w:p>
      <w:pPr>
        <w:keepNext/>
        <w:spacing w:before="260" w:after="80"/>
      </w:pPr>
      <w:r>
        <w:rPr>
          <w:rFonts w:ascii="Calibri" w:hAnsi="Calibri"/>
          <w:b/>
          <w:color w:val="C89B3C"/>
          <w:sz w:val="26"/>
        </w:rPr>
        <w:t>7.1 The Administrative Review Finite State Machine</w:t>
      </w:r>
    </w:p>
    <w:p>
      <w:pPr>
        <w:spacing w:before="0" w:after="100" w:line="276" w:lineRule="auto"/>
      </w:pPr>
      <w:r>
        <w:rPr>
          <w:rFonts w:ascii="Calibri" w:hAnsi="Calibri"/>
          <w:color w:val="1F2937"/>
          <w:sz w:val="21"/>
        </w:rPr>
        <w:t>Applications progress through a strictly controlled state machine with role segregation:</w:t>
      </w:r>
    </w:p>
    <w:p>
      <w:pPr>
        <w:pStyle w:val="ListBullet"/>
        <w:spacing w:before="0" w:after="60" w:line="269" w:lineRule="auto"/>
        <w:ind w:left="360"/>
      </w:pPr>
      <w:r>
        <w:rPr>
          <w:rFonts w:ascii="Calibri" w:hAnsi="Calibri"/>
          <w:b/>
          <w:color w:val="1F2937"/>
          <w:sz w:val="21"/>
        </w:rPr>
        <w:t xml:space="preserve">State 1 (submitted): </w:t>
      </w:r>
      <w:r>
        <w:rPr>
          <w:rFonts w:ascii="Calibri" w:hAnsi="Calibri"/>
          <w:color w:val="1F2937"/>
          <w:sz w:val="21"/>
        </w:rPr>
        <w:t>Applicant submits form with National ID and documents. Status becomes 'submitted'.</w:t>
      </w:r>
    </w:p>
    <w:p>
      <w:pPr>
        <w:pStyle w:val="ListBullet"/>
        <w:spacing w:before="0" w:after="60" w:line="269" w:lineRule="auto"/>
        <w:ind w:left="360"/>
      </w:pPr>
      <w:r>
        <w:rPr>
          <w:rFonts w:ascii="Calibri" w:hAnsi="Calibri"/>
          <w:b/>
          <w:color w:val="1F2937"/>
          <w:sz w:val="21"/>
        </w:rPr>
        <w:t xml:space="preserve">State 2 (under_review): </w:t>
      </w:r>
      <w:r>
        <w:rPr>
          <w:rFonts w:ascii="Calibri" w:hAnsi="Calibri"/>
          <w:color w:val="1F2937"/>
          <w:sz w:val="21"/>
        </w:rPr>
        <w:t>Regional staff opens application to inspect documents. Status moves to 'under_review'.</w:t>
      </w:r>
    </w:p>
    <w:p>
      <w:pPr>
        <w:pStyle w:val="ListBullet"/>
        <w:spacing w:before="0" w:after="60" w:line="269" w:lineRule="auto"/>
        <w:ind w:left="360"/>
      </w:pPr>
      <w:r>
        <w:rPr>
          <w:rFonts w:ascii="Calibri" w:hAnsi="Calibri"/>
          <w:b/>
          <w:color w:val="1F2937"/>
          <w:sz w:val="21"/>
        </w:rPr>
        <w:t xml:space="preserve">State 3 (reviewed): </w:t>
      </w:r>
      <w:r>
        <w:rPr>
          <w:rFonts w:ascii="Calibri" w:hAnsi="Calibri"/>
          <w:color w:val="1F2937"/>
          <w:sz w:val="21"/>
        </w:rPr>
        <w:t>Staff reviewer verifies all checklist requirements. Status moves to 'reviewed'. Regular admins cannot advance beyond this point.</w:t>
      </w:r>
    </w:p>
    <w:p>
      <w:pPr>
        <w:pStyle w:val="ListBullet"/>
        <w:spacing w:before="0" w:after="60" w:line="269" w:lineRule="auto"/>
        <w:ind w:left="360"/>
      </w:pPr>
      <w:r>
        <w:rPr>
          <w:rFonts w:ascii="Calibri" w:hAnsi="Calibri"/>
          <w:b/>
          <w:color w:val="1F2937"/>
          <w:sz w:val="21"/>
        </w:rPr>
        <w:t xml:space="preserve">State 4 (approved): </w:t>
      </w:r>
      <w:r>
        <w:rPr>
          <w:rFonts w:ascii="Calibri" w:hAnsi="Calibri"/>
          <w:color w:val="1F2937"/>
          <w:sz w:val="21"/>
        </w:rPr>
        <w:t>Only Super Admin can issue final approval. Status becomes 'approved'. ReviewedAt timestamp is recorded, locking the application permanently against future tampering.</w:t>
      </w:r>
    </w:p>
    <w:p>
      <w:pPr>
        <w:pStyle w:val="ListBullet"/>
        <w:spacing w:before="0" w:after="60" w:line="269" w:lineRule="auto"/>
        <w:ind w:left="360"/>
      </w:pPr>
      <w:r>
        <w:rPr>
          <w:rFonts w:ascii="Calibri" w:hAnsi="Calibri"/>
          <w:b/>
          <w:color w:val="1F2937"/>
          <w:sz w:val="21"/>
        </w:rPr>
        <w:t xml:space="preserve">State 5 (rejected): </w:t>
      </w:r>
      <w:r>
        <w:rPr>
          <w:rFonts w:ascii="Calibri" w:hAnsi="Calibri"/>
          <w:color w:val="1F2937"/>
          <w:sz w:val="21"/>
        </w:rPr>
        <w:t>If deficiencies are found, Super Admin rejects the application. A detailed rejection note is legally mandatory before the status can update.</w:t>
      </w:r>
    </w:p>
    <w:p>
      <w:pPr>
        <w:keepNext/>
        <w:spacing w:before="260" w:after="80"/>
      </w:pPr>
      <w:r>
        <w:rPr>
          <w:rFonts w:ascii="Calibri" w:hAnsi="Calibri"/>
          <w:b/>
          <w:color w:val="C89B3C"/>
          <w:sz w:val="26"/>
        </w:rPr>
        <w:t>7.2 Ornamental Digital Certificate &amp; QR Verification Engine</w:t>
      </w:r>
    </w:p>
    <w:p>
      <w:pPr>
        <w:spacing w:before="0" w:after="100" w:line="276" w:lineRule="auto"/>
      </w:pPr>
      <w:r>
        <w:rPr>
          <w:rFonts w:ascii="Calibri" w:hAnsi="Calibri"/>
          <w:color w:val="1F2937"/>
          <w:sz w:val="21"/>
        </w:rPr>
        <w:t>Upon approval, the system generates a high-security digital certificate (frontend/src/components/portal/certificate-view.tsx):</w:t>
      </w:r>
    </w:p>
    <w:p>
      <w:pPr>
        <w:pStyle w:val="ListBullet"/>
        <w:spacing w:before="0" w:after="60" w:line="269" w:lineRule="auto"/>
        <w:ind w:left="360"/>
      </w:pPr>
      <w:r>
        <w:rPr>
          <w:rFonts w:ascii="Calibri" w:hAnsi="Calibri"/>
          <w:b/>
          <w:color w:val="1F2937"/>
          <w:sz w:val="21"/>
        </w:rPr>
        <w:t xml:space="preserve">SVG Guilloche Patterns: </w:t>
      </w:r>
      <w:r>
        <w:rPr>
          <w:rFonts w:ascii="Calibri" w:hAnsi="Calibri"/>
          <w:color w:val="1F2937"/>
          <w:sz w:val="21"/>
        </w:rPr>
        <w:t>Custom SVG math renders complex geometric wave patterns along the borders, mimicking banknotes and official government instruments to discourage print tampering.</w:t>
      </w:r>
    </w:p>
    <w:p>
      <w:pPr>
        <w:pStyle w:val="ListBullet"/>
        <w:spacing w:before="0" w:after="60" w:line="269" w:lineRule="auto"/>
        <w:ind w:left="360"/>
      </w:pPr>
      <w:r>
        <w:rPr>
          <w:rFonts w:ascii="Calibri" w:hAnsi="Calibri"/>
          <w:b/>
          <w:color w:val="1F2937"/>
          <w:sz w:val="21"/>
        </w:rPr>
        <w:t xml:space="preserve">Official Seal Rosette: </w:t>
      </w:r>
      <w:r>
        <w:rPr>
          <w:rFonts w:ascii="Calibri" w:hAnsi="Calibri"/>
          <w:color w:val="1F2937"/>
          <w:sz w:val="21"/>
        </w:rPr>
        <w:t>Dynamic SVG rosette with gear teeth and circular text ('PCC • ETHIOPIA • PROFESSIONAL COMPETENCE').</w:t>
      </w:r>
    </w:p>
    <w:p>
      <w:pPr>
        <w:pStyle w:val="ListBullet"/>
        <w:spacing w:before="0" w:after="60" w:line="269" w:lineRule="auto"/>
        <w:ind w:left="360"/>
      </w:pPr>
      <w:r>
        <w:rPr>
          <w:rFonts w:ascii="Calibri" w:hAnsi="Calibri"/>
          <w:b/>
          <w:color w:val="1F2937"/>
          <w:sz w:val="21"/>
        </w:rPr>
        <w:t xml:space="preserve">Digital Signatures &amp; Stamps: </w:t>
      </w:r>
      <w:r>
        <w:rPr>
          <w:rFonts w:ascii="Calibri" w:hAnsi="Calibri"/>
          <w:color w:val="1F2937"/>
          <w:sz w:val="21"/>
        </w:rPr>
        <w:t>Dynamic stamp and signature images managed by the Super Admin in admin-profile.tsx.</w:t>
      </w:r>
    </w:p>
    <w:p>
      <w:pPr>
        <w:pStyle w:val="ListBullet"/>
        <w:spacing w:before="0" w:after="60" w:line="269" w:lineRule="auto"/>
        <w:ind w:left="360"/>
      </w:pPr>
      <w:r>
        <w:rPr>
          <w:rFonts w:ascii="Calibri" w:hAnsi="Calibri"/>
          <w:b/>
          <w:color w:val="1F2937"/>
          <w:sz w:val="21"/>
        </w:rPr>
        <w:t xml:space="preserve">Cryptographic QR Verification: </w:t>
      </w:r>
      <w:r>
        <w:rPr>
          <w:rFonts w:ascii="Calibri" w:hAnsi="Calibri"/>
          <w:color w:val="1F2937"/>
          <w:sz w:val="21"/>
        </w:rPr>
        <w:t>Generated using qrcode.react, encoding the URL `${window.location.origin}/verify?id=${applicationId}`. Scanning the code opens frontend/src/app/verify/page.tsx, which checks /api/verify to confirm validity, verifies the 1-year expiration date, and displays the certified business holder name.</w:t>
      </w:r>
    </w:p>
    <w:p>
      <w:pPr>
        <w:keepNext/>
        <w:spacing w:before="360" w:after="120"/>
      </w:pPr>
      <w:r>
        <w:rPr>
          <w:rFonts w:ascii="Calibri" w:hAnsi="Calibri"/>
          <w:b/>
          <w:color w:val="0F6B4A"/>
          <w:sz w:val="32"/>
        </w:rPr>
        <w:t>8. Oral Defense Q&amp;A: 20 Hard Questions &amp; Model Answers</w:t>
      </w:r>
    </w:p>
    <w:p>
      <w:pPr>
        <w:spacing w:before="0" w:after="100" w:line="276" w:lineRule="auto"/>
      </w:pPr>
      <w:r>
        <w:rPr>
          <w:rFonts w:ascii="Calibri" w:hAnsi="Calibri"/>
          <w:color w:val="1F2937"/>
          <w:sz w:val="21"/>
        </w:rPr>
        <w:t>This section prepares you to defend your software engineering choices against tough questions from professors, technical evaluators, and academic defense committees.</w:t>
      </w:r>
    </w:p>
    <w:p>
      <w:pPr>
        <w:keepNext/>
        <w:spacing w:before="240" w:after="80"/>
      </w:pPr>
      <w:r>
        <w:rPr>
          <w:rFonts w:ascii="Calibri" w:hAnsi="Calibri"/>
          <w:b/>
          <w:color w:val="0F6B4A"/>
          <w:sz w:val="23"/>
        </w:rPr>
        <w:t xml:space="preserve">Q1: </w:t>
      </w:r>
      <w:r>
        <w:rPr>
          <w:rFonts w:ascii="Calibri" w:hAnsi="Calibri"/>
          <w:b/>
          <w:color w:val="1F2937"/>
          <w:sz w:val="23"/>
        </w:rPr>
        <w:t>Why did you decouple the system into an Express.js backend instead of just using Next.js API Routes / Route Handlers?</w:t>
      </w:r>
    </w:p>
    <w:p>
      <w:pPr>
        <w:spacing w:before="0" w:after="80" w:line="276" w:lineRule="auto"/>
      </w:pPr>
      <w:r>
        <w:rPr>
          <w:rFonts w:ascii="Calibri" w:hAnsi="Calibri"/>
          <w:b/>
          <w:color w:val="C89B3C"/>
          <w:sz w:val="21"/>
        </w:rPr>
        <w:t xml:space="preserve">Model Defense Answer: </w:t>
      </w:r>
      <w:r>
        <w:rPr>
          <w:rFonts w:ascii="Calibri" w:hAnsi="Calibri"/>
          <w:color w:val="1F2937"/>
          <w:sz w:val="21"/>
        </w:rPr>
        <w:t>While Next.js route handlers are convenient for small full-stack apps, decoupling into a dedicated Express backend provides distinct software engineering advantages for an enterprise government portal:</w:t>
        <w:br/>
        <w:t>1. Architectural Separation of Concerns: The API service exists as an independent entity that can be scaled, containerized, or maintained by a dedicated backend team without redeploying the frontend UI.</w:t>
        <w:br/>
        <w:t>2. Long-Running Processes &amp; Streaming: Express excels at handling multi-megabyte document uploads and persistent server instances without serverless execution time limits or cold starts.</w:t>
        <w:br/>
        <w:t>3. Portability &amp; Future Clients: An independent REST API can serve future native mobile apps (Flutter, React Native) or third-party government interoperability portals without touching Next.js.</w:t>
      </w:r>
    </w:p>
    <w:p>
      <w:pPr>
        <w:spacing w:before="0" w:after="160"/>
      </w:pPr>
      <w:r>
        <w:rPr>
          <w:rFonts w:ascii="Calibri" w:hAnsi="Calibri"/>
          <w:b/>
          <w:color w:val="B45309"/>
          <w:sz w:val="19"/>
        </w:rPr>
        <w:t xml:space="preserve">Defense Tip: </w:t>
      </w:r>
      <w:r>
        <w:rPr>
          <w:rFonts w:ascii="Calibri" w:hAnsi="Calibri"/>
          <w:i/>
          <w:color w:val="1F2937"/>
          <w:sz w:val="19"/>
        </w:rPr>
        <w:t>Emphasize that this shows mature architectural foresight. Mention that Next.js rewrites provide the best of both worlds: zero CORS issues in the client, but full decoupled autonomy on the backend.</w:t>
      </w:r>
    </w:p>
    <w:p>
      <w:pPr>
        <w:keepNext/>
        <w:spacing w:before="240" w:after="80"/>
      </w:pPr>
      <w:r>
        <w:rPr>
          <w:rFonts w:ascii="Calibri" w:hAnsi="Calibri"/>
          <w:b/>
          <w:color w:val="0F6B4A"/>
          <w:sz w:val="23"/>
        </w:rPr>
        <w:t xml:space="preserve">Q2: </w:t>
      </w:r>
      <w:r>
        <w:rPr>
          <w:rFonts w:ascii="Calibri" w:hAnsi="Calibri"/>
          <w:b/>
          <w:color w:val="1F2937"/>
          <w:sz w:val="23"/>
        </w:rPr>
        <w:t>How does the system prevent Cross-Origin Resource Sharing (CORS) errors between localhost:3000 and localhost:5000?</w:t>
      </w:r>
    </w:p>
    <w:p>
      <w:pPr>
        <w:spacing w:before="0" w:after="80" w:line="276" w:lineRule="auto"/>
      </w:pPr>
      <w:r>
        <w:rPr>
          <w:rFonts w:ascii="Calibri" w:hAnsi="Calibri"/>
          <w:b/>
          <w:color w:val="C89B3C"/>
          <w:sz w:val="21"/>
        </w:rPr>
        <w:t xml:space="preserve">Model Defense Answer: </w:t>
      </w:r>
      <w:r>
        <w:rPr>
          <w:rFonts w:ascii="Calibri" w:hAnsi="Calibri"/>
          <w:color w:val="1F2937"/>
          <w:sz w:val="21"/>
        </w:rPr>
        <w:t>We solve this at the architectural routing level using Next.js Reverse Proxy Rewrites configured in next.config.ts. The browser only makes requests to its own origin (e.g., http://localhost:3000/api/applications). Next.js intercepts any path matching '/api/:path*' or '/uploads/:path*' and internally forwards the request to the Express backend at :5000. Because the browser only communicates with port 3000, CORS never triggers in the browser, eliminating the need for wildcard CORS in production.</w:t>
      </w:r>
    </w:p>
    <w:p>
      <w:pPr>
        <w:spacing w:before="0" w:after="160"/>
      </w:pPr>
      <w:r>
        <w:rPr>
          <w:rFonts w:ascii="Calibri" w:hAnsi="Calibri"/>
          <w:b/>
          <w:color w:val="B45309"/>
          <w:sz w:val="19"/>
        </w:rPr>
        <w:t xml:space="preserve">Defense Tip: </w:t>
      </w:r>
      <w:r>
        <w:rPr>
          <w:rFonts w:ascii="Calibri" w:hAnsi="Calibri"/>
          <w:i/>
          <w:color w:val="1F2937"/>
          <w:sz w:val="19"/>
        </w:rPr>
        <w:t>Professors love networking clarity. Use the term 'Reverse Proxy' and explain that this mimics a production Nginx or Caddy deployment.</w:t>
      </w:r>
    </w:p>
    <w:p>
      <w:pPr>
        <w:keepNext/>
        <w:spacing w:before="240" w:after="80"/>
      </w:pPr>
      <w:r>
        <w:rPr>
          <w:rFonts w:ascii="Calibri" w:hAnsi="Calibri"/>
          <w:b/>
          <w:color w:val="0F6B4A"/>
          <w:sz w:val="23"/>
        </w:rPr>
        <w:t xml:space="preserve">Q3: </w:t>
      </w:r>
      <w:r>
        <w:rPr>
          <w:rFonts w:ascii="Calibri" w:hAnsi="Calibri"/>
          <w:b/>
          <w:color w:val="1F2937"/>
          <w:sz w:val="23"/>
        </w:rPr>
        <w:t>Why did you choose PBKDF2 with SHA-512 over bcrypt or plain SHA-256 for password security?</w:t>
      </w:r>
    </w:p>
    <w:p>
      <w:pPr>
        <w:spacing w:before="0" w:after="80" w:line="276" w:lineRule="auto"/>
      </w:pPr>
      <w:r>
        <w:rPr>
          <w:rFonts w:ascii="Calibri" w:hAnsi="Calibri"/>
          <w:b/>
          <w:color w:val="C89B3C"/>
          <w:sz w:val="21"/>
        </w:rPr>
        <w:t xml:space="preserve">Model Defense Answer: </w:t>
      </w:r>
      <w:r>
        <w:rPr>
          <w:rFonts w:ascii="Calibri" w:hAnsi="Calibri"/>
          <w:color w:val="1F2937"/>
          <w:sz w:val="21"/>
        </w:rPr>
        <w:t>Plain SHA-256 is an unsalted, fast cryptographic digest; modern GPUs can compute billions of SHA-256 hashes per second, making dictionary attacks trivial. While bcrypt is popular, PBKDF2 with 100,000 iterations of SHA-512 is an official NIST (FIPS 140-3) and Ethiopian Information Network Security Administration (INSA) recommended standard. It requires no external native C++ bindings (eliminating node-gyp build failures on Windows servers) and utilizes a cryptographically random 32-byte salt to completely defeat Rainbow Table attacks.</w:t>
      </w:r>
    </w:p>
    <w:p>
      <w:pPr>
        <w:spacing w:before="0" w:after="160"/>
      </w:pPr>
      <w:r>
        <w:rPr>
          <w:rFonts w:ascii="Calibri" w:hAnsi="Calibri"/>
          <w:b/>
          <w:color w:val="B45309"/>
          <w:sz w:val="19"/>
        </w:rPr>
        <w:t xml:space="preserve">Defense Tip: </w:t>
      </w:r>
      <w:r>
        <w:rPr>
          <w:rFonts w:ascii="Calibri" w:hAnsi="Calibri"/>
          <w:i/>
          <w:color w:val="1F2937"/>
          <w:sz w:val="19"/>
        </w:rPr>
        <w:t>Mention NIST SP 800-132 compliance. This shows you understand regulatory security standards, not just basic web tutorials.</w:t>
      </w:r>
    </w:p>
    <w:p>
      <w:pPr>
        <w:keepNext/>
        <w:spacing w:before="240" w:after="80"/>
      </w:pPr>
      <w:r>
        <w:rPr>
          <w:rFonts w:ascii="Calibri" w:hAnsi="Calibri"/>
          <w:b/>
          <w:color w:val="0F6B4A"/>
          <w:sz w:val="23"/>
        </w:rPr>
        <w:t xml:space="preserve">Q4: </w:t>
      </w:r>
      <w:r>
        <w:rPr>
          <w:rFonts w:ascii="Calibri" w:hAnsi="Calibri"/>
          <w:b/>
          <w:color w:val="1F2937"/>
          <w:sz w:val="23"/>
        </w:rPr>
        <w:t>What is a timing attack, and how did your codebase address it?</w:t>
      </w:r>
    </w:p>
    <w:p>
      <w:pPr>
        <w:spacing w:before="0" w:after="80" w:line="276" w:lineRule="auto"/>
      </w:pPr>
      <w:r>
        <w:rPr>
          <w:rFonts w:ascii="Calibri" w:hAnsi="Calibri"/>
          <w:b/>
          <w:color w:val="C89B3C"/>
          <w:sz w:val="21"/>
        </w:rPr>
        <w:t xml:space="preserve">Model Defense Answer: </w:t>
      </w:r>
      <w:r>
        <w:rPr>
          <w:rFonts w:ascii="Calibri" w:hAnsi="Calibri"/>
          <w:color w:val="1F2937"/>
          <w:sz w:val="21"/>
        </w:rPr>
        <w:t>A timing attack is a side-channel attack where an adversary measures the exact time it takes for a server to compare two strings. Standard equality operators (===) perform short-circuit evaluation—returning false on the first mismatching byte. By measuring latency variations in microseconds, an attacker can guess the password hash character by character. In backend/src/lib/password.ts, we prevent this by using Node's crypto.timingSafeEqual(a, b), which executes in constant time by scanning every byte regardless of whether a mismatch occurred earlier.</w:t>
      </w:r>
    </w:p>
    <w:p>
      <w:pPr>
        <w:spacing w:before="0" w:after="160"/>
      </w:pPr>
      <w:r>
        <w:rPr>
          <w:rFonts w:ascii="Calibri" w:hAnsi="Calibri"/>
          <w:b/>
          <w:color w:val="B45309"/>
          <w:sz w:val="19"/>
        </w:rPr>
        <w:t xml:space="preserve">Defense Tip: </w:t>
      </w:r>
      <w:r>
        <w:rPr>
          <w:rFonts w:ascii="Calibri" w:hAnsi="Calibri"/>
          <w:i/>
          <w:color w:val="1F2937"/>
          <w:sz w:val="19"/>
        </w:rPr>
        <w:t>Show the professor lines 55-60 of password.ts. Point out the try-catch block and Buffer conversion.</w:t>
      </w:r>
    </w:p>
    <w:p>
      <w:pPr>
        <w:keepNext/>
        <w:spacing w:before="240" w:after="80"/>
      </w:pPr>
      <w:r>
        <w:rPr>
          <w:rFonts w:ascii="Calibri" w:hAnsi="Calibri"/>
          <w:b/>
          <w:color w:val="0F6B4A"/>
          <w:sz w:val="23"/>
        </w:rPr>
        <w:t xml:space="preserve">Q5: </w:t>
      </w:r>
      <w:r>
        <w:rPr>
          <w:rFonts w:ascii="Calibri" w:hAnsi="Calibri"/>
          <w:b/>
          <w:color w:val="1F2937"/>
          <w:sz w:val="23"/>
        </w:rPr>
        <w:t>Why did you use Zustand instead of Redux Toolkit or the standard React Context API?</w:t>
      </w:r>
    </w:p>
    <w:p>
      <w:pPr>
        <w:spacing w:before="0" w:after="80" w:line="276" w:lineRule="auto"/>
      </w:pPr>
      <w:r>
        <w:rPr>
          <w:rFonts w:ascii="Calibri" w:hAnsi="Calibri"/>
          <w:b/>
          <w:color w:val="C89B3C"/>
          <w:sz w:val="21"/>
        </w:rPr>
        <w:t xml:space="preserve">Model Defense Answer: </w:t>
      </w:r>
      <w:r>
        <w:rPr>
          <w:rFonts w:ascii="Calibri" w:hAnsi="Calibri"/>
          <w:color w:val="1F2937"/>
          <w:sz w:val="21"/>
        </w:rPr>
        <w:t>1. Performance vs React Context: React Context re-renders every consuming component whenever any slice of context changes, causing massive re-rendering overhead on complex form screens like ApplyView. Zustand uses atomic selectors (e.g., useApp(s =&gt; s.lang)), re-rendering only the specific component subscribing to that state slice.</w:t>
        <w:br/>
        <w:t>2. Simplicity vs Redux: Redux Toolkit introduces boilerplate (actions, reducers, dispatchers, store providers). Zustand achieves the same predictability in under 130 lines of code in store.ts with a bundle size of only 1KB.</w:t>
        <w:br/>
        <w:t>3. Out-of-React Access: Zustand state can be inspected and modified outside the React component tree (such as in initFromHash() for URL synchronization).</w:t>
      </w:r>
    </w:p>
    <w:p>
      <w:pPr>
        <w:spacing w:before="0" w:after="160"/>
      </w:pPr>
      <w:r>
        <w:rPr>
          <w:rFonts w:ascii="Calibri" w:hAnsi="Calibri"/>
          <w:b/>
          <w:color w:val="B45309"/>
          <w:sz w:val="19"/>
        </w:rPr>
        <w:t xml:space="preserve">Defense Tip: </w:t>
      </w:r>
      <w:r>
        <w:rPr>
          <w:rFonts w:ascii="Calibri" w:hAnsi="Calibri"/>
          <w:i/>
          <w:color w:val="1F2937"/>
          <w:sz w:val="19"/>
        </w:rPr>
        <w:t>State management is a frequent defense battleground. Emphasizing render optimization and bundle size proves your technical depth.</w:t>
      </w:r>
    </w:p>
    <w:p>
      <w:pPr>
        <w:keepNext/>
        <w:spacing w:before="240" w:after="80"/>
      </w:pPr>
      <w:r>
        <w:rPr>
          <w:rFonts w:ascii="Calibri" w:hAnsi="Calibri"/>
          <w:b/>
          <w:color w:val="0F6B4A"/>
          <w:sz w:val="23"/>
        </w:rPr>
        <w:t xml:space="preserve">Q6: </w:t>
      </w:r>
      <w:r>
        <w:rPr>
          <w:rFonts w:ascii="Calibri" w:hAnsi="Calibri"/>
          <w:b/>
          <w:color w:val="1F2937"/>
          <w:sz w:val="23"/>
        </w:rPr>
        <w:t>Explain how Role-Based Access Control (RBAC) is enforced, and how you prevent privilege escalation?</w:t>
      </w:r>
    </w:p>
    <w:p>
      <w:pPr>
        <w:spacing w:before="0" w:after="80" w:line="276" w:lineRule="auto"/>
      </w:pPr>
      <w:r>
        <w:rPr>
          <w:rFonts w:ascii="Calibri" w:hAnsi="Calibri"/>
          <w:b/>
          <w:color w:val="C89B3C"/>
          <w:sz w:val="21"/>
        </w:rPr>
        <w:t xml:space="preserve">Model Defense Answer: </w:t>
      </w:r>
      <w:r>
        <w:rPr>
          <w:rFonts w:ascii="Calibri" w:hAnsi="Calibri"/>
          <w:color w:val="1F2937"/>
          <w:sz w:val="21"/>
        </w:rPr>
        <w:t>RBAC is enforced through a defense-in-depth model across three layers:</w:t>
        <w:br/>
        <w:t>1. Database Layer: The User model stores the role column as an explicit enum-like string ('super_admin', 'admin', 'applicant').</w:t>
        <w:br/>
        <w:t>2. Middleware Pipeline: backend/src/middleware/auth.ts contains explicit gatekeepers: requireAuth, requireAdmin, and requireSuperAdmin.</w:t>
        <w:br/>
        <w:t>3. Business Logic Validation: Even if an admin bypasses the UI, the PATCH /api/applications/:id endpoint verifies: if a regular admin attempts to approve or reject, the server returns HTTP 403 Forbidden. Furthermore, in routes/users.ts, a super admin cannot demote or delete the last active super admin, preventing system lockout.</w:t>
      </w:r>
    </w:p>
    <w:p>
      <w:pPr>
        <w:spacing w:before="0" w:after="160"/>
      </w:pPr>
      <w:r>
        <w:rPr>
          <w:rFonts w:ascii="Calibri" w:hAnsi="Calibri"/>
          <w:b/>
          <w:color w:val="B45309"/>
          <w:sz w:val="19"/>
        </w:rPr>
        <w:t xml:space="preserve">Defense Tip: </w:t>
      </w:r>
      <w:r>
        <w:rPr>
          <w:rFonts w:ascii="Calibri" w:hAnsi="Calibri"/>
          <w:i/>
          <w:color w:val="1F2937"/>
          <w:sz w:val="19"/>
        </w:rPr>
        <w:t>Highlight the 'last active super admin' safeguard. This demonstrates defensive programming against edge cases.</w:t>
      </w:r>
    </w:p>
    <w:p>
      <w:pPr>
        <w:keepNext/>
        <w:spacing w:before="240" w:after="80"/>
      </w:pPr>
      <w:r>
        <w:rPr>
          <w:rFonts w:ascii="Calibri" w:hAnsi="Calibri"/>
          <w:b/>
          <w:color w:val="0F6B4A"/>
          <w:sz w:val="23"/>
        </w:rPr>
        <w:t xml:space="preserve">Q7: </w:t>
      </w:r>
      <w:r>
        <w:rPr>
          <w:rFonts w:ascii="Calibri" w:hAnsi="Calibri"/>
          <w:b/>
          <w:color w:val="1F2937"/>
          <w:sz w:val="23"/>
        </w:rPr>
        <w:t>What is the significance of the 16-digit National ID validation in your Apply form?</w:t>
      </w:r>
    </w:p>
    <w:p>
      <w:pPr>
        <w:spacing w:before="0" w:after="80" w:line="276" w:lineRule="auto"/>
      </w:pPr>
      <w:r>
        <w:rPr>
          <w:rFonts w:ascii="Calibri" w:hAnsi="Calibri"/>
          <w:b/>
          <w:color w:val="C89B3C"/>
          <w:sz w:val="21"/>
        </w:rPr>
        <w:t xml:space="preserve">Model Defense Answer: </w:t>
      </w:r>
      <w:r>
        <w:rPr>
          <w:rFonts w:ascii="Calibri" w:hAnsi="Calibri"/>
          <w:color w:val="1F2937"/>
          <w:sz w:val="21"/>
        </w:rPr>
        <w:t>Ethiopia is currently rolling out the National Digital ID system, known as 'Fayda', established under Proclamation No. 1284/2023. Fayda assigns every Ethiopian citizen a unique 16-digit National Identification Number (NIN). In frontend/src/components/portal/apply-view.tsx and backend/src/routes/applications.ts, we enforce this with the regular expression ^\d{16}$, stripping whitespace and hyphens. This ensures the portal aligns directly with national digital governance standards and prevents bogus application submissions.</w:t>
      </w:r>
    </w:p>
    <w:p>
      <w:pPr>
        <w:spacing w:before="0" w:after="160"/>
      </w:pPr>
      <w:r>
        <w:rPr>
          <w:rFonts w:ascii="Calibri" w:hAnsi="Calibri"/>
          <w:b/>
          <w:color w:val="B45309"/>
          <w:sz w:val="19"/>
        </w:rPr>
        <w:t xml:space="preserve">Defense Tip: </w:t>
      </w:r>
      <w:r>
        <w:rPr>
          <w:rFonts w:ascii="Calibri" w:hAnsi="Calibri"/>
          <w:i/>
          <w:color w:val="1F2937"/>
          <w:sz w:val="19"/>
        </w:rPr>
        <w:t>Connecting your code directly to national policy (Fayda) will earn huge praise from any Ethiopian academic committee.</w:t>
      </w:r>
    </w:p>
    <w:p>
      <w:pPr>
        <w:keepNext/>
        <w:spacing w:before="240" w:after="80"/>
      </w:pPr>
      <w:r>
        <w:rPr>
          <w:rFonts w:ascii="Calibri" w:hAnsi="Calibri"/>
          <w:b/>
          <w:color w:val="0F6B4A"/>
          <w:sz w:val="23"/>
        </w:rPr>
        <w:t xml:space="preserve">Q8: </w:t>
      </w:r>
      <w:r>
        <w:rPr>
          <w:rFonts w:ascii="Calibri" w:hAnsi="Calibri"/>
          <w:b/>
          <w:color w:val="1F2937"/>
          <w:sz w:val="23"/>
        </w:rPr>
        <w:t>How do you prevent unauthorized applicants from applying for restricted categories like Telecom infrastructure?</w:t>
      </w:r>
    </w:p>
    <w:p>
      <w:pPr>
        <w:spacing w:before="0" w:after="80" w:line="276" w:lineRule="auto"/>
      </w:pPr>
      <w:r>
        <w:rPr>
          <w:rFonts w:ascii="Calibri" w:hAnsi="Calibri"/>
          <w:b/>
          <w:color w:val="C89B3C"/>
          <w:sz w:val="21"/>
        </w:rPr>
        <w:t xml:space="preserve">Model Defense Answer: </w:t>
      </w:r>
      <w:r>
        <w:rPr>
          <w:rFonts w:ascii="Calibri" w:hAnsi="Calibri"/>
          <w:color w:val="1F2937"/>
          <w:sz w:val="21"/>
        </w:rPr>
        <w:t>Categories #25 (Basic Telecommunication Services) and #28 (Core Telecom Infrastructure) are reserved by law for the state monopoly. We implement two-tiered protection:</w:t>
        <w:br/>
        <w:t>1. Client UI: The isMonopolyCategory() helper disables the application trigger and shows a legal notice.</w:t>
        <w:br/>
        <w:t>2. Server Enforcement: In backend/src/routes/applications.ts, lines 122-126 check if categoryNum === 25 || categoryNum === 28. If an attacker uses Postman or curl to bypass the web interface, the server returns HTTP 403 with the error: 'This category is reserved for the state enterprise and is not open to private applicants.'</w:t>
      </w:r>
    </w:p>
    <w:p>
      <w:pPr>
        <w:spacing w:before="0" w:after="160"/>
      </w:pPr>
      <w:r>
        <w:rPr>
          <w:rFonts w:ascii="Calibri" w:hAnsi="Calibri"/>
          <w:b/>
          <w:color w:val="B45309"/>
          <w:sz w:val="19"/>
        </w:rPr>
        <w:t xml:space="preserve">Defense Tip: </w:t>
      </w:r>
      <w:r>
        <w:rPr>
          <w:rFonts w:ascii="Calibri" w:hAnsi="Calibri"/>
          <w:i/>
          <w:color w:val="1F2937"/>
          <w:sz w:val="19"/>
        </w:rPr>
        <w:t>Always emphasize that client-side validation is for UX, but server-side validation is the true security boundary.</w:t>
      </w:r>
    </w:p>
    <w:p>
      <w:pPr>
        <w:keepNext/>
        <w:spacing w:before="240" w:after="80"/>
      </w:pPr>
      <w:r>
        <w:rPr>
          <w:rFonts w:ascii="Calibri" w:hAnsi="Calibri"/>
          <w:b/>
          <w:color w:val="0F6B4A"/>
          <w:sz w:val="23"/>
        </w:rPr>
        <w:t xml:space="preserve">Q9: </w:t>
      </w:r>
      <w:r>
        <w:rPr>
          <w:rFonts w:ascii="Calibri" w:hAnsi="Calibri"/>
          <w:b/>
          <w:color w:val="1F2937"/>
          <w:sz w:val="23"/>
        </w:rPr>
        <w:t>How does the QR code on the certificate prevent counterfeiting?</w:t>
      </w:r>
    </w:p>
    <w:p>
      <w:pPr>
        <w:spacing w:before="0" w:after="80" w:line="276" w:lineRule="auto"/>
      </w:pPr>
      <w:r>
        <w:rPr>
          <w:rFonts w:ascii="Calibri" w:hAnsi="Calibri"/>
          <w:b/>
          <w:color w:val="C89B3C"/>
          <w:sz w:val="21"/>
        </w:rPr>
        <w:t xml:space="preserve">Model Defense Answer: </w:t>
      </w:r>
      <w:r>
        <w:rPr>
          <w:rFonts w:ascii="Calibri" w:hAnsi="Calibri"/>
          <w:color w:val="1F2937"/>
          <w:sz w:val="21"/>
        </w:rPr>
        <w:t>When an application is approved, a certificate is generated with a unique 16-character alphanumeric Certificate Number derived from the application's unique database CUID. The QR code encodes a secure URL pointing directly to the public verification route: /verify?id=&lt;applicationId&gt;. When scanned by any smartphone camera, the verifier's browser hits the backend /api/verify endpoint, which queries the live database. If the record doesn't exist, has expired past its 1-year validity, or was revoked, the verification screen displays a bold red warning. A counterfeiter printing a fake paper certificate cannot forge the live database response.</w:t>
      </w:r>
    </w:p>
    <w:p>
      <w:pPr>
        <w:spacing w:before="0" w:after="160"/>
      </w:pPr>
      <w:r>
        <w:rPr>
          <w:rFonts w:ascii="Calibri" w:hAnsi="Calibri"/>
          <w:b/>
          <w:color w:val="B45309"/>
          <w:sz w:val="19"/>
        </w:rPr>
        <w:t xml:space="preserve">Defense Tip: </w:t>
      </w:r>
      <w:r>
        <w:rPr>
          <w:rFonts w:ascii="Calibri" w:hAnsi="Calibri"/>
          <w:i/>
          <w:color w:val="1F2937"/>
          <w:sz w:val="19"/>
        </w:rPr>
        <w:t>Point out that the certificate expiration logic calculates exactly 1 year from the issuedDate in verify.ts.</w:t>
      </w:r>
    </w:p>
    <w:p>
      <w:pPr>
        <w:keepNext/>
        <w:spacing w:before="240" w:after="80"/>
      </w:pPr>
      <w:r>
        <w:rPr>
          <w:rFonts w:ascii="Calibri" w:hAnsi="Calibri"/>
          <w:b/>
          <w:color w:val="0F6B4A"/>
          <w:sz w:val="23"/>
        </w:rPr>
        <w:t xml:space="preserve">Q10: </w:t>
      </w:r>
      <w:r>
        <w:rPr>
          <w:rFonts w:ascii="Calibri" w:hAnsi="Calibri"/>
          <w:b/>
          <w:color w:val="1F2937"/>
          <w:sz w:val="23"/>
        </w:rPr>
        <w:t>How does your in-memory rate limiter work, and what are its limitations in production?</w:t>
      </w:r>
    </w:p>
    <w:p>
      <w:pPr>
        <w:spacing w:before="0" w:after="80" w:line="276" w:lineRule="auto"/>
      </w:pPr>
      <w:r>
        <w:rPr>
          <w:rFonts w:ascii="Calibri" w:hAnsi="Calibri"/>
          <w:b/>
          <w:color w:val="C89B3C"/>
          <w:sz w:val="21"/>
        </w:rPr>
        <w:t xml:space="preserve">Model Defense Answer: </w:t>
      </w:r>
      <w:r>
        <w:rPr>
          <w:rFonts w:ascii="Calibri" w:hAnsi="Calibri"/>
          <w:color w:val="1F2937"/>
          <w:sz w:val="21"/>
        </w:rPr>
        <w:t>Our rate limiter (backend/src/lib/rate-limit.ts) uses a sliding-window counter algorithm backed by a JavaScript Map&lt;string, { count, expiresAt }&gt;. On each incoming request, it checks the IP; if the window has expired, it resets the count; otherwise, it increments. If the count exceeds the limit, it rejects the request with HTTP 429 and a Retry-After header.</w:t>
        <w:br/>
        <w:t>Limitation in Distributed Production: Because the cache is in-memory on a single Node process, if the server is clustered with PM2 or load-balanced across multiple Docker containers, each instance would maintain its own isolated count. In a large-scale deployment, we would swap the memory map with a Redis cluster using Redis INCR and EXPIRE.</w:t>
      </w:r>
    </w:p>
    <w:p>
      <w:pPr>
        <w:spacing w:before="0" w:after="160"/>
      </w:pPr>
      <w:r>
        <w:rPr>
          <w:rFonts w:ascii="Calibri" w:hAnsi="Calibri"/>
          <w:b/>
          <w:color w:val="B45309"/>
          <w:sz w:val="19"/>
        </w:rPr>
        <w:t xml:space="preserve">Defense Tip: </w:t>
      </w:r>
      <w:r>
        <w:rPr>
          <w:rFonts w:ascii="Calibri" w:hAnsi="Calibri"/>
          <w:i/>
          <w:color w:val="1F2937"/>
          <w:sz w:val="19"/>
        </w:rPr>
        <w:t>Acknowledging limitations and proposing Redis shows senior-level architectural maturity.</w:t>
      </w:r>
    </w:p>
    <w:p>
      <w:pPr>
        <w:keepNext/>
        <w:spacing w:before="240" w:after="80"/>
      </w:pPr>
      <w:r>
        <w:rPr>
          <w:rFonts w:ascii="Calibri" w:hAnsi="Calibri"/>
          <w:b/>
          <w:color w:val="0F6B4A"/>
          <w:sz w:val="23"/>
        </w:rPr>
        <w:t xml:space="preserve">Q11: </w:t>
      </w:r>
      <w:r>
        <w:rPr>
          <w:rFonts w:ascii="Calibri" w:hAnsi="Calibri"/>
          <w:b/>
          <w:color w:val="1F2937"/>
          <w:sz w:val="23"/>
        </w:rPr>
        <w:t>Why did you use CUIDs instead of auto-incrementing integers (1, 2, 3...) for database IDs?</w:t>
      </w:r>
    </w:p>
    <w:p>
      <w:pPr>
        <w:spacing w:before="0" w:after="80" w:line="276" w:lineRule="auto"/>
      </w:pPr>
      <w:r>
        <w:rPr>
          <w:rFonts w:ascii="Calibri" w:hAnsi="Calibri"/>
          <w:b/>
          <w:color w:val="C89B3C"/>
          <w:sz w:val="21"/>
        </w:rPr>
        <w:t xml:space="preserve">Model Defense Answer: </w:t>
      </w:r>
      <w:r>
        <w:rPr>
          <w:rFonts w:ascii="Calibri" w:hAnsi="Calibri"/>
          <w:color w:val="1F2937"/>
          <w:sz w:val="21"/>
        </w:rPr>
        <w:t>Auto-incrementing integers (IDs 1, 2, 3...) suffer from severe security vulnerabilities known as Insecure Direct Object Reference (IDOR) and enumeration attacks. An attacker could simply iterate through /api/applications/1, /api/applications/2 to scrape competitor data or gauge total business volume. CUIDs (Collision-resistant Unique Identifiers) provide cryptographically random, timestamp-seeded, non-sequential strings (e.g., 'clw78a9bc0001xyz...'), preventing enumeration while remaining index-friendly in B-Tree database indexes.</w:t>
      </w:r>
    </w:p>
    <w:p>
      <w:pPr>
        <w:spacing w:before="0" w:after="160"/>
      </w:pPr>
      <w:r>
        <w:rPr>
          <w:rFonts w:ascii="Calibri" w:hAnsi="Calibri"/>
          <w:b/>
          <w:color w:val="B45309"/>
          <w:sz w:val="19"/>
        </w:rPr>
        <w:t xml:space="preserve">Defense Tip: </w:t>
      </w:r>
      <w:r>
        <w:rPr>
          <w:rFonts w:ascii="Calibri" w:hAnsi="Calibri"/>
          <w:i/>
          <w:color w:val="1F2937"/>
          <w:sz w:val="19"/>
        </w:rPr>
        <w:t>Mention IDOR prevention. IDOR is in the OWASP Top 10, which professors respect.</w:t>
      </w:r>
    </w:p>
    <w:p>
      <w:pPr>
        <w:keepNext/>
        <w:spacing w:before="240" w:after="80"/>
      </w:pPr>
      <w:r>
        <w:rPr>
          <w:rFonts w:ascii="Calibri" w:hAnsi="Calibri"/>
          <w:b/>
          <w:color w:val="0F6B4A"/>
          <w:sz w:val="23"/>
        </w:rPr>
        <w:t xml:space="preserve">Q12: </w:t>
      </w:r>
      <w:r>
        <w:rPr>
          <w:rFonts w:ascii="Calibri" w:hAnsi="Calibri"/>
          <w:b/>
          <w:color w:val="1F2937"/>
          <w:sz w:val="23"/>
        </w:rPr>
        <w:t>How are uploaded applicant documents handled, and what are the trade-offs of your storage approach?</w:t>
      </w:r>
    </w:p>
    <w:p>
      <w:pPr>
        <w:spacing w:before="0" w:after="80" w:line="276" w:lineRule="auto"/>
      </w:pPr>
      <w:r>
        <w:rPr>
          <w:rFonts w:ascii="Calibri" w:hAnsi="Calibri"/>
          <w:b/>
          <w:color w:val="C89B3C"/>
          <w:sz w:val="21"/>
        </w:rPr>
        <w:t xml:space="preserve">Model Defense Answer: </w:t>
      </w:r>
      <w:r>
        <w:rPr>
          <w:rFonts w:ascii="Calibri" w:hAnsi="Calibri"/>
          <w:color w:val="1F2937"/>
          <w:sz w:val="21"/>
        </w:rPr>
        <w:t>When an applicant attaches files, the frontend converts them via FileReader.readAsDataURL() into Base64 payloads with a 10MB limit. The backend receives this in /api/applications, creates an isolated directory uploads/&lt;applicationId&gt;/, decodes the Base64 string into a Buffer, and writes the binary file to disk using fs.writeFileSync. The file paths are served statically via express.static.</w:t>
        <w:br/>
        <w:t>Trade-offs: Local disk storage is simple, fast, and requires zero external cloud subscriptions. However, in a horizontally scaled multi-server cluster, files stored on server A are inaccessible to server B. For enterprise scaling, this would be refactored to stream directly to an S3-compatible object storage bucket (like MinIO or AWS S3) with pre-signed URLs.</w:t>
      </w:r>
    </w:p>
    <w:p>
      <w:pPr>
        <w:spacing w:before="0" w:after="160"/>
      </w:pPr>
      <w:r>
        <w:rPr>
          <w:rFonts w:ascii="Calibri" w:hAnsi="Calibri"/>
          <w:b/>
          <w:color w:val="B45309"/>
          <w:sz w:val="19"/>
        </w:rPr>
        <w:t xml:space="preserve">Defense Tip: </w:t>
      </w:r>
      <w:r>
        <w:rPr>
          <w:rFonts w:ascii="Calibri" w:hAnsi="Calibri"/>
          <w:i/>
          <w:color w:val="1F2937"/>
          <w:sz w:val="19"/>
        </w:rPr>
        <w:t>Mentioning MinIO demonstrates enterprise storage knowledge.</w:t>
      </w:r>
    </w:p>
    <w:p>
      <w:pPr>
        <w:keepNext/>
        <w:spacing w:before="240" w:after="80"/>
      </w:pPr>
      <w:r>
        <w:rPr>
          <w:rFonts w:ascii="Calibri" w:hAnsi="Calibri"/>
          <w:b/>
          <w:color w:val="0F6B4A"/>
          <w:sz w:val="23"/>
        </w:rPr>
        <w:t xml:space="preserve">Q13: </w:t>
      </w:r>
      <w:r>
        <w:rPr>
          <w:rFonts w:ascii="Calibri" w:hAnsi="Calibri"/>
          <w:b/>
          <w:color w:val="1F2937"/>
          <w:sz w:val="23"/>
        </w:rPr>
        <w:t>Why is the AuditLog creation wrapped in a silent try-catch block in audit.ts?</w:t>
      </w:r>
    </w:p>
    <w:p>
      <w:pPr>
        <w:spacing w:before="0" w:after="80" w:line="276" w:lineRule="auto"/>
      </w:pPr>
      <w:r>
        <w:rPr>
          <w:rFonts w:ascii="Calibri" w:hAnsi="Calibri"/>
          <w:b/>
          <w:color w:val="C89B3C"/>
          <w:sz w:val="21"/>
        </w:rPr>
        <w:t xml:space="preserve">Model Defense Answer: </w:t>
      </w:r>
      <w:r>
        <w:rPr>
          <w:rFonts w:ascii="Calibri" w:hAnsi="Calibri"/>
          <w:color w:val="1F2937"/>
          <w:sz w:val="21"/>
        </w:rPr>
        <w:t>In backend/src/lib/audit.ts, the audit helper catches any database write exceptions and logs them via console.error without re-throwing. Software Rationale: Non-blocking availability. A temporary glitch in the audit logging table (such as a lock timeout) should never crash or abort a critical citizen transaction like submitting an application or logging in. However, in high-compliance financial banking systems, audit logs would be part of a two-phase transactional commit or dispatched asynchronously to a Kafka message queue.</w:t>
      </w:r>
    </w:p>
    <w:p>
      <w:pPr>
        <w:spacing w:before="0" w:after="160"/>
      </w:pPr>
      <w:r>
        <w:rPr>
          <w:rFonts w:ascii="Calibri" w:hAnsi="Calibri"/>
          <w:b/>
          <w:color w:val="B45309"/>
          <w:sz w:val="19"/>
        </w:rPr>
        <w:t xml:space="preserve">Defense Tip: </w:t>
      </w:r>
      <w:r>
        <w:rPr>
          <w:rFonts w:ascii="Calibri" w:hAnsi="Calibri"/>
          <w:i/>
          <w:color w:val="1F2937"/>
          <w:sz w:val="19"/>
        </w:rPr>
        <w:t>Explaining availability vs consistency trade-offs is a textbook software engineering principle.</w:t>
      </w:r>
    </w:p>
    <w:p>
      <w:pPr>
        <w:keepNext/>
        <w:spacing w:before="240" w:after="80"/>
      </w:pPr>
      <w:r>
        <w:rPr>
          <w:rFonts w:ascii="Calibri" w:hAnsi="Calibri"/>
          <w:b/>
          <w:color w:val="0F6B4A"/>
          <w:sz w:val="23"/>
        </w:rPr>
        <w:t xml:space="preserve">Q14: </w:t>
      </w:r>
      <w:r>
        <w:rPr>
          <w:rFonts w:ascii="Calibri" w:hAnsi="Calibri"/>
          <w:b/>
          <w:color w:val="1F2937"/>
          <w:sz w:val="23"/>
        </w:rPr>
        <w:t>How does the portal handle bilingual Amharic and English typography?</w:t>
      </w:r>
    </w:p>
    <w:p>
      <w:pPr>
        <w:spacing w:before="0" w:after="80" w:line="276" w:lineRule="auto"/>
      </w:pPr>
      <w:r>
        <w:rPr>
          <w:rFonts w:ascii="Calibri" w:hAnsi="Calibri"/>
          <w:b/>
          <w:color w:val="C89B3C"/>
          <w:sz w:val="21"/>
        </w:rPr>
        <w:t xml:space="preserve">Model Defense Answer: </w:t>
      </w:r>
      <w:r>
        <w:rPr>
          <w:rFonts w:ascii="Calibri" w:hAnsi="Calibri"/>
          <w:color w:val="1F2937"/>
          <w:sz w:val="21"/>
        </w:rPr>
        <w:t>Ethiopia's official working language is Amharic, which uses the Ge'ez script (Fidel). Standard web fonts often lack Ge'ez Unicode glyphs, resulting in broken square boxes ('tofu') or misaligned vertical metrics. We solved this in frontend/src/app/layout.tsx by importing Google's 'Noto Sans Ethiopic' font with variable font weights (400, 500, 600, 700) and mapping it to the CSS variable --font-noto-ethiopic. In frontend/src/lib/i18n.ts, a structured translation dictionary provides instant, zero-latency language switching without requiring server round-trips.</w:t>
      </w:r>
    </w:p>
    <w:p>
      <w:pPr>
        <w:spacing w:before="0" w:after="160"/>
      </w:pPr>
      <w:r>
        <w:rPr>
          <w:rFonts w:ascii="Calibri" w:hAnsi="Calibri"/>
          <w:b/>
          <w:color w:val="B45309"/>
          <w:sz w:val="19"/>
        </w:rPr>
        <w:t xml:space="preserve">Defense Tip: </w:t>
      </w:r>
      <w:r>
        <w:rPr>
          <w:rFonts w:ascii="Calibri" w:hAnsi="Calibri"/>
          <w:i/>
          <w:color w:val="1F2937"/>
          <w:sz w:val="19"/>
        </w:rPr>
        <w:t>Point out the language toggle in the header. Show how it instantly toggles the UI into Ge'ez.</w:t>
      </w:r>
    </w:p>
    <w:p>
      <w:pPr>
        <w:keepNext/>
        <w:spacing w:before="240" w:after="80"/>
      </w:pPr>
      <w:r>
        <w:rPr>
          <w:rFonts w:ascii="Calibri" w:hAnsi="Calibri"/>
          <w:b/>
          <w:color w:val="0F6B4A"/>
          <w:sz w:val="23"/>
        </w:rPr>
        <w:t xml:space="preserve">Q15: </w:t>
      </w:r>
      <w:r>
        <w:rPr>
          <w:rFonts w:ascii="Calibri" w:hAnsi="Calibri"/>
          <w:b/>
          <w:color w:val="1F2937"/>
          <w:sz w:val="23"/>
        </w:rPr>
        <w:t>Why is the application status immutable once it reaches 'approved'?</w:t>
      </w:r>
    </w:p>
    <w:p>
      <w:pPr>
        <w:spacing w:before="0" w:after="80" w:line="276" w:lineRule="auto"/>
      </w:pPr>
      <w:r>
        <w:rPr>
          <w:rFonts w:ascii="Calibri" w:hAnsi="Calibri"/>
          <w:b/>
          <w:color w:val="C89B3C"/>
          <w:sz w:val="21"/>
        </w:rPr>
        <w:t xml:space="preserve">Model Defense Answer: </w:t>
      </w:r>
      <w:r>
        <w:rPr>
          <w:rFonts w:ascii="Calibri" w:hAnsi="Calibri"/>
          <w:color w:val="1F2937"/>
          <w:sz w:val="21"/>
        </w:rPr>
        <w:t>In backend/src/routes/applications.ts, lines 216-218 enforce: 'Once approved, an application's status cannot be changed or removed.' Legal &amp; Integrity Rationale: In administrative law, once an official competence certificate has been issued and signed by a government authority, a junior officer cannot silently modify or retract it. If a company commits a severe infraction, the certificate must go through a formal 'Revocation' legal process rather than being erased. This guarantees non-repudiation and data integrity.</w:t>
      </w:r>
    </w:p>
    <w:p>
      <w:pPr>
        <w:spacing w:before="0" w:after="160"/>
      </w:pPr>
      <w:r>
        <w:rPr>
          <w:rFonts w:ascii="Calibri" w:hAnsi="Calibri"/>
          <w:b/>
          <w:color w:val="B45309"/>
          <w:sz w:val="19"/>
        </w:rPr>
        <w:t xml:space="preserve">Defense Tip: </w:t>
      </w:r>
      <w:r>
        <w:rPr>
          <w:rFonts w:ascii="Calibri" w:hAnsi="Calibri"/>
          <w:i/>
          <w:color w:val="1F2937"/>
          <w:sz w:val="19"/>
        </w:rPr>
        <w:t>Use the word 'Non-repudiation'. It is a key information security pillar alongside Confidentiality, Integrity, and Availability.</w:t>
      </w:r>
    </w:p>
    <w:p>
      <w:pPr>
        <w:keepNext/>
        <w:spacing w:before="240" w:after="80"/>
      </w:pPr>
      <w:r>
        <w:rPr>
          <w:rFonts w:ascii="Calibri" w:hAnsi="Calibri"/>
          <w:b/>
          <w:color w:val="0F6B4A"/>
          <w:sz w:val="23"/>
        </w:rPr>
        <w:t xml:space="preserve">Q16: </w:t>
      </w:r>
      <w:r>
        <w:rPr>
          <w:rFonts w:ascii="Calibri" w:hAnsi="Calibri"/>
          <w:b/>
          <w:color w:val="1F2937"/>
          <w:sz w:val="23"/>
        </w:rPr>
        <w:t>How does the self-check readiness calculator work, and why does it save to localStorage?</w:t>
      </w:r>
    </w:p>
    <w:p>
      <w:pPr>
        <w:spacing w:before="0" w:after="80" w:line="276" w:lineRule="auto"/>
      </w:pPr>
      <w:r>
        <w:rPr>
          <w:rFonts w:ascii="Calibri" w:hAnsi="Calibri"/>
          <w:b/>
          <w:color w:val="C89B3C"/>
          <w:sz w:val="21"/>
        </w:rPr>
        <w:t xml:space="preserve">Model Defense Answer: </w:t>
      </w:r>
      <w:r>
        <w:rPr>
          <w:rFonts w:ascii="Calibri" w:hAnsi="Calibri"/>
          <w:color w:val="1F2937"/>
          <w:sz w:val="21"/>
        </w:rPr>
        <w:t>Under Directive 1/2007, each license category has 4 requirement categories: Personnel, Facility, Equipment, and Documents. On the category detail page, applicants can interactively check off items they possess. The system calculates readinessPercent = (checked / total) * 100. This is stored in browser localStorage under 'mcit:selfcheck:&lt;categoryCode&gt;:&lt;num&gt;'.</w:t>
        <w:br/>
        <w:t>Rationale: Applicants frequently gather equipment over several weeks before formally applying. Saving to localStorage allows them to track progress across days without needing an active account or cluttering the backend database with incomplete drafts. When they finally click 'Apply', the readiness score is automatically injected into the official application submission.</w:t>
      </w:r>
    </w:p>
    <w:p>
      <w:pPr>
        <w:spacing w:before="0" w:after="160"/>
      </w:pPr>
      <w:r>
        <w:rPr>
          <w:rFonts w:ascii="Calibri" w:hAnsi="Calibri"/>
          <w:b/>
          <w:color w:val="B45309"/>
          <w:sz w:val="19"/>
        </w:rPr>
        <w:t xml:space="preserve">Defense Tip: </w:t>
      </w:r>
      <w:r>
        <w:rPr>
          <w:rFonts w:ascii="Calibri" w:hAnsi="Calibri"/>
          <w:i/>
          <w:color w:val="1F2937"/>
          <w:sz w:val="19"/>
        </w:rPr>
        <w:t>Demonstrates applicant-centric UX design and reducing unnecessary database overhead.</w:t>
      </w:r>
    </w:p>
    <w:p>
      <w:pPr>
        <w:keepNext/>
        <w:spacing w:before="240" w:after="80"/>
      </w:pPr>
      <w:r>
        <w:rPr>
          <w:rFonts w:ascii="Calibri" w:hAnsi="Calibri"/>
          <w:b/>
          <w:color w:val="0F6B4A"/>
          <w:sz w:val="23"/>
        </w:rPr>
        <w:t xml:space="preserve">Q17: </w:t>
      </w:r>
      <w:r>
        <w:rPr>
          <w:rFonts w:ascii="Calibri" w:hAnsi="Calibri"/>
          <w:b/>
          <w:color w:val="1F2937"/>
          <w:sz w:val="23"/>
        </w:rPr>
        <w:t>What HTTP security headers are configured in next.config.ts, and what attacks do they prevent?</w:t>
      </w:r>
    </w:p>
    <w:p>
      <w:pPr>
        <w:spacing w:before="0" w:after="80" w:line="276" w:lineRule="auto"/>
      </w:pPr>
      <w:r>
        <w:rPr>
          <w:rFonts w:ascii="Calibri" w:hAnsi="Calibri"/>
          <w:b/>
          <w:color w:val="C89B3C"/>
          <w:sz w:val="21"/>
        </w:rPr>
        <w:t xml:space="preserve">Model Defense Answer: </w:t>
      </w:r>
      <w:r>
        <w:rPr>
          <w:rFonts w:ascii="Calibri" w:hAnsi="Calibri"/>
          <w:color w:val="1F2937"/>
          <w:sz w:val="21"/>
        </w:rPr>
        <w:t>In frontend/next.config.ts, we configure six critical HTTP security headers:</w:t>
        <w:br/>
        <w:t>1. Strict-Transport-Security (HSTS): Forces HTTPS for 2 years, preventing SSL-stripping Man-in-the-Middle (MitM) attacks.</w:t>
        <w:br/>
        <w:t>2. X-Frame-Options: 'SAMEORIGIN' prevents Clickjacking attacks by forbidding external sites from embedding the portal inside an iframe.</w:t>
        <w:br/>
        <w:t>3. X-Content-Type-Options: 'nosniff' prevents MIME-type sniffing attacks on uploaded documents.</w:t>
        <w:br/>
        <w:t>4. X-XSS-Protection: '1; mode=block' activates browser cross-site scripting filters.</w:t>
        <w:br/>
        <w:t>5. Referrer-Policy: 'origin-when-cross-origin' protects private URL parameters from leaking to external referrers.</w:t>
        <w:br/>
        <w:t>6. X-DNS-Prefetch-Control: Optimizes secure DNS resolution.</w:t>
      </w:r>
    </w:p>
    <w:p>
      <w:pPr>
        <w:spacing w:before="0" w:after="160"/>
      </w:pPr>
      <w:r>
        <w:rPr>
          <w:rFonts w:ascii="Calibri" w:hAnsi="Calibri"/>
          <w:b/>
          <w:color w:val="B45309"/>
          <w:sz w:val="19"/>
        </w:rPr>
        <w:t xml:space="preserve">Defense Tip: </w:t>
      </w:r>
      <w:r>
        <w:rPr>
          <w:rFonts w:ascii="Calibri" w:hAnsi="Calibri"/>
          <w:i/>
          <w:color w:val="1F2937"/>
          <w:sz w:val="19"/>
        </w:rPr>
        <w:t>Listing specific OWASP headers and their attack vectors shows exceptional security competence.</w:t>
      </w:r>
    </w:p>
    <w:p>
      <w:pPr>
        <w:keepNext/>
        <w:spacing w:before="240" w:after="80"/>
      </w:pPr>
      <w:r>
        <w:rPr>
          <w:rFonts w:ascii="Calibri" w:hAnsi="Calibri"/>
          <w:b/>
          <w:color w:val="0F6B4A"/>
          <w:sz w:val="23"/>
        </w:rPr>
        <w:t xml:space="preserve">Q18: </w:t>
      </w:r>
      <w:r>
        <w:rPr>
          <w:rFonts w:ascii="Calibri" w:hAnsi="Calibri"/>
          <w:b/>
          <w:color w:val="1F2937"/>
          <w:sz w:val="23"/>
        </w:rPr>
        <w:t>What is an ORM, and how does Prisma protect the database from SQL Injection attacks?</w:t>
      </w:r>
    </w:p>
    <w:p>
      <w:pPr>
        <w:spacing w:before="0" w:after="80" w:line="276" w:lineRule="auto"/>
      </w:pPr>
      <w:r>
        <w:rPr>
          <w:rFonts w:ascii="Calibri" w:hAnsi="Calibri"/>
          <w:b/>
          <w:color w:val="C89B3C"/>
          <w:sz w:val="21"/>
        </w:rPr>
        <w:t xml:space="preserve">Model Defense Answer: </w:t>
      </w:r>
      <w:r>
        <w:rPr>
          <w:rFonts w:ascii="Calibri" w:hAnsi="Calibri"/>
          <w:color w:val="1F2937"/>
          <w:sz w:val="21"/>
        </w:rPr>
        <w:t>An Object-Relational Mapper (ORM) abstracts raw SQL database interactions into type-safe programming language objects. Prisma protects against SQL Injection because it never concatenates raw strings into SQL queries. Instead, every Prisma query (e.g., db.application.findMany({ where: { status } })) automatically parameterizes all inputs into prepared statements at the database driver protocol level. An attacker injecting "' OR '1'='1" will have the payload treated as a literal string value, making SQL injection impossible.</w:t>
      </w:r>
    </w:p>
    <w:p>
      <w:pPr>
        <w:spacing w:before="0" w:after="160"/>
      </w:pPr>
      <w:r>
        <w:rPr>
          <w:rFonts w:ascii="Calibri" w:hAnsi="Calibri"/>
          <w:b/>
          <w:color w:val="B45309"/>
          <w:sz w:val="19"/>
        </w:rPr>
        <w:t xml:space="preserve">Defense Tip: </w:t>
      </w:r>
      <w:r>
        <w:rPr>
          <w:rFonts w:ascii="Calibri" w:hAnsi="Calibri"/>
          <w:i/>
          <w:color w:val="1F2937"/>
          <w:sz w:val="19"/>
        </w:rPr>
        <w:t>Mention parameterized queries and prepared statements. That is the exact theoretical answer professors look for.</w:t>
      </w:r>
    </w:p>
    <w:p>
      <w:pPr>
        <w:keepNext/>
        <w:spacing w:before="240" w:after="80"/>
      </w:pPr>
      <w:r>
        <w:rPr>
          <w:rFonts w:ascii="Calibri" w:hAnsi="Calibri"/>
          <w:b/>
          <w:color w:val="0F6B4A"/>
          <w:sz w:val="23"/>
        </w:rPr>
        <w:t xml:space="preserve">Q19: </w:t>
      </w:r>
      <w:r>
        <w:rPr>
          <w:rFonts w:ascii="Calibri" w:hAnsi="Calibri"/>
          <w:b/>
          <w:color w:val="1F2937"/>
          <w:sz w:val="23"/>
        </w:rPr>
        <w:t>If this system had to scale to 500,000 applicants nationwide, what would be the bottlenecks and solutions?</w:t>
      </w:r>
    </w:p>
    <w:p>
      <w:pPr>
        <w:spacing w:before="0" w:after="80" w:line="276" w:lineRule="auto"/>
      </w:pPr>
      <w:r>
        <w:rPr>
          <w:rFonts w:ascii="Calibri" w:hAnsi="Calibri"/>
          <w:b/>
          <w:color w:val="C89B3C"/>
          <w:sz w:val="21"/>
        </w:rPr>
        <w:t xml:space="preserve">Model Defense Answer: </w:t>
      </w:r>
      <w:r>
        <w:rPr>
          <w:rFonts w:ascii="Calibri" w:hAnsi="Calibri"/>
          <w:color w:val="1F2937"/>
          <w:sz w:val="21"/>
        </w:rPr>
        <w:t>1. Database Connection Pooling: Node processes can exhaust PostgreSQL connections under high concurrency. Solution: Deploy Prisma Accelerate or PgBouncer to pool connections.</w:t>
        <w:br/>
        <w:t>2. Document Storage: Storing Base64 document buffers on local disks would rapidly exhaust disk space. Solution: Stream uploads directly to an S3-compatible cloud object store (AWS S3, MinIO) with asynchronous anti-virus virus scanning (ClamAV).</w:t>
        <w:br/>
        <w:t>3. Session &amp; Rate Limit State: In-memory rate limiting must be migrated to a distributed Redis cluster to share state across load-balanced Node instances.</w:t>
        <w:br/>
        <w:t>4. Caching: Public read-heavy data (28 category requirements, published news) should be cached via Redis or CDN edge nodes (Cloudflare).</w:t>
      </w:r>
    </w:p>
    <w:p>
      <w:pPr>
        <w:spacing w:before="0" w:after="160"/>
      </w:pPr>
      <w:r>
        <w:rPr>
          <w:rFonts w:ascii="Calibri" w:hAnsi="Calibri"/>
          <w:b/>
          <w:color w:val="B45309"/>
          <w:sz w:val="19"/>
        </w:rPr>
        <w:t xml:space="preserve">Defense Tip: </w:t>
      </w:r>
      <w:r>
        <w:rPr>
          <w:rFonts w:ascii="Calibri" w:hAnsi="Calibri"/>
          <w:i/>
          <w:color w:val="1F2937"/>
          <w:sz w:val="19"/>
        </w:rPr>
        <w:t>Structuring answers into Bottleneck -&gt; Enterprise Solution demonstrates real engineering systems thinking.</w:t>
      </w:r>
    </w:p>
    <w:p>
      <w:pPr>
        <w:keepNext/>
        <w:spacing w:before="240" w:after="80"/>
      </w:pPr>
      <w:r>
        <w:rPr>
          <w:rFonts w:ascii="Calibri" w:hAnsi="Calibri"/>
          <w:b/>
          <w:color w:val="0F6B4A"/>
          <w:sz w:val="23"/>
        </w:rPr>
        <w:t xml:space="preserve">Q20: </w:t>
      </w:r>
      <w:r>
        <w:rPr>
          <w:rFonts w:ascii="Calibri" w:hAnsi="Calibri"/>
          <w:b/>
          <w:color w:val="1F2937"/>
          <w:sz w:val="23"/>
        </w:rPr>
        <w:t>What software engineering methodology and coding standards were maintained during this project?</w:t>
      </w:r>
    </w:p>
    <w:p>
      <w:pPr>
        <w:spacing w:before="0" w:after="80" w:line="276" w:lineRule="auto"/>
      </w:pPr>
      <w:r>
        <w:rPr>
          <w:rFonts w:ascii="Calibri" w:hAnsi="Calibri"/>
          <w:b/>
          <w:color w:val="C89B3C"/>
          <w:sz w:val="21"/>
        </w:rPr>
        <w:t xml:space="preserve">Model Defense Answer: </w:t>
      </w:r>
      <w:r>
        <w:rPr>
          <w:rFonts w:ascii="Calibri" w:hAnsi="Calibri"/>
          <w:color w:val="1F2937"/>
          <w:sz w:val="21"/>
        </w:rPr>
        <w:t>The project followed Agile Iterative Development with component-driven architecture:</w:t>
        <w:br/>
        <w:t>1. DRY (Don't Repeat Yourself): Shared TypeScript interfaces (frontend/src/lib/types.ts) and modular UI components.</w:t>
        <w:br/>
        <w:t>2. Clean Code &amp; Linter: Strict TypeScript compiler flags (strict: true) and ESLint rules enforcing type safety and unused variable cleanup.</w:t>
        <w:br/>
        <w:t>3. Fail-Safe Defaults: Defense-in-depth where unauthorized access defaults to HTTP 401/403, and unhandled errors trigger global express error handlers.</w:t>
        <w:br/>
        <w:t>4. Immutable Auditability: Security events cannot be overwritten or deleted by normal administrative accounts.</w:t>
      </w:r>
    </w:p>
    <w:p>
      <w:pPr>
        <w:spacing w:before="0" w:after="160"/>
      </w:pPr>
      <w:r>
        <w:rPr>
          <w:rFonts w:ascii="Calibri" w:hAnsi="Calibri"/>
          <w:b/>
          <w:color w:val="B45309"/>
          <w:sz w:val="19"/>
        </w:rPr>
        <w:t xml:space="preserve">Defense Tip: </w:t>
      </w:r>
      <w:r>
        <w:rPr>
          <w:rFonts w:ascii="Calibri" w:hAnsi="Calibri"/>
          <w:i/>
          <w:color w:val="1F2937"/>
          <w:sz w:val="19"/>
        </w:rPr>
        <w:t>Concluding with software craftsmanship principles wraps up your defense with highest academic marks.</w:t>
      </w:r>
    </w:p>
    <w:p>
      <w:pPr>
        <w:keepNext/>
        <w:spacing w:before="360" w:after="120"/>
      </w:pPr>
      <w:r>
        <w:rPr>
          <w:rFonts w:ascii="Calibri" w:hAnsi="Calibri"/>
          <w:b/>
          <w:color w:val="0F6B4A"/>
          <w:sz w:val="32"/>
        </w:rPr>
        <w:t>9. Conclusion &amp; Future Roadmap</w:t>
      </w:r>
    </w:p>
    <w:p>
      <w:pPr>
        <w:spacing w:before="0" w:after="100" w:line="276" w:lineRule="auto"/>
      </w:pPr>
      <w:r>
        <w:rPr>
          <w:rFonts w:ascii="Calibri" w:hAnsi="Calibri"/>
          <w:color w:val="1F2937"/>
          <w:sz w:val="21"/>
        </w:rPr>
        <w:t>The MCIT Professional Competence Certificate Portal successfully demonstrates how modern web engineering, cryptographic security, and user-centric design can digitize complex government bureaucracy. By eliminating paper vulnerabilities, enforcing legal directives in code, and providing instant cryptographic QR verification, the system establishes a scalable blueprint for regional and national e-Governance in Ethiopia.</w:t>
      </w:r>
    </w:p>
    <w:p>
      <w:pPr>
        <w:keepNext/>
        <w:spacing w:before="260" w:after="80"/>
      </w:pPr>
      <w:r>
        <w:rPr>
          <w:rFonts w:ascii="Calibri" w:hAnsi="Calibri"/>
          <w:b/>
          <w:color w:val="C89B3C"/>
          <w:sz w:val="26"/>
        </w:rPr>
        <w:t>9.1 Recommended Future Enhancements</w:t>
      </w:r>
    </w:p>
    <w:p>
      <w:pPr>
        <w:pStyle w:val="ListBullet"/>
        <w:spacing w:before="0" w:after="60" w:line="269" w:lineRule="auto"/>
        <w:ind w:left="360"/>
      </w:pPr>
      <w:r>
        <w:rPr>
          <w:rFonts w:ascii="Calibri" w:hAnsi="Calibri"/>
          <w:b/>
          <w:color w:val="1F2937"/>
          <w:sz w:val="21"/>
        </w:rPr>
        <w:t xml:space="preserve">1. Digital Fee Collection: </w:t>
      </w:r>
      <w:r>
        <w:rPr>
          <w:rFonts w:ascii="Calibri" w:hAnsi="Calibri"/>
          <w:color w:val="1F2937"/>
          <w:sz w:val="21"/>
        </w:rPr>
        <w:t>Integration with national payment gateways (Telebirr, CBE Birr) for automated licensing fee collection.</w:t>
      </w:r>
    </w:p>
    <w:p>
      <w:pPr>
        <w:pStyle w:val="ListBullet"/>
        <w:spacing w:before="0" w:after="60" w:line="269" w:lineRule="auto"/>
        <w:ind w:left="360"/>
      </w:pPr>
      <w:r>
        <w:rPr>
          <w:rFonts w:ascii="Calibri" w:hAnsi="Calibri"/>
          <w:b/>
          <w:color w:val="1F2937"/>
          <w:sz w:val="21"/>
        </w:rPr>
        <w:t xml:space="preserve">2. Automated Fayda Verification: </w:t>
      </w:r>
      <w:r>
        <w:rPr>
          <w:rFonts w:ascii="Calibri" w:hAnsi="Calibri"/>
          <w:color w:val="1F2937"/>
          <w:sz w:val="21"/>
        </w:rPr>
        <w:t>Direct API integration with the National ID Agency (Fayda) for real-time biometric and OTP verification.</w:t>
      </w:r>
    </w:p>
    <w:p>
      <w:pPr>
        <w:pStyle w:val="ListBullet"/>
        <w:spacing w:before="0" w:after="60" w:line="269" w:lineRule="auto"/>
        <w:ind w:left="360"/>
      </w:pPr>
      <w:r>
        <w:rPr>
          <w:rFonts w:ascii="Calibri" w:hAnsi="Calibri"/>
          <w:b/>
          <w:color w:val="1F2937"/>
          <w:sz w:val="21"/>
        </w:rPr>
        <w:t xml:space="preserve">3. SMS Gateway Dispatch: </w:t>
      </w:r>
      <w:r>
        <w:rPr>
          <w:rFonts w:ascii="Calibri" w:hAnsi="Calibri"/>
          <w:color w:val="1F2937"/>
          <w:sz w:val="21"/>
        </w:rPr>
        <w:t>Integration with SMS gateways (Ethio Telecom) to deliver real-time application status alerts to applicants' mobile phones.</w:t>
      </w:r>
    </w:p>
    <w:p>
      <w:pPr>
        <w:pStyle w:val="ListBullet"/>
        <w:spacing w:before="0" w:after="60" w:line="269" w:lineRule="auto"/>
        <w:ind w:left="360"/>
      </w:pPr>
      <w:r>
        <w:rPr>
          <w:rFonts w:ascii="Calibri" w:hAnsi="Calibri"/>
          <w:b/>
          <w:color w:val="1F2937"/>
          <w:sz w:val="21"/>
        </w:rPr>
        <w:t xml:space="preserve">4. Mobile Inspector PWA: </w:t>
      </w:r>
      <w:r>
        <w:rPr>
          <w:rFonts w:ascii="Calibri" w:hAnsi="Calibri"/>
          <w:color w:val="1F2937"/>
          <w:sz w:val="21"/>
        </w:rPr>
        <w:t>Mobile inspector application for field officers to verify physical ICT facilities using offline-capable verification caches.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Ministry of Communication &amp; Information Technology (MCIT) | Harari Region Innovation &amp; Technology Agency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MCIT Portal — Software Engineering Defense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