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TUT STONES</w:t>
      </w:r>
    </w:p>
    <w:p>
      <w:pPr>
        <w:spacing w:after="200"/>
        <w:jc w:val="center"/>
      </w:pPr>
      <w:r>
        <w:rPr>
          <w:b/>
          <w:bCs/>
          <w:color w:val="8D4F4E"/>
          <w:sz w:val="28"/>
          <w:szCs w:val="28"/>
        </w:rPr>
        <w:t xml:space="preserve">Official Brand &amp; Design Specification Guide</w:t>
      </w:r>
    </w:p>
    <w:p>
      <w:pPr>
        <w:spacing w:after="400"/>
        <w:jc w:val="center"/>
      </w:pPr>
      <w:r>
        <w:rPr>
          <w:color w:val="567394"/>
          <w:sz w:val="20"/>
          <w:szCs w:val="20"/>
        </w:rPr>
        <w:t xml:space="preserve">Egyptian Marble &amp; Granite Export Web Application | Visual Identity System</w:t>
      </w:r>
    </w:p>
    <w:p>
      <w:pPr>
        <w:pStyle w:val="Heading1"/>
        <w:spacing w:after="120" w:before="300"/>
      </w:pPr>
      <w:r>
        <w:t xml:space="preserve">1. Brand Identity &amp; Design Philosophy</w:t>
      </w:r>
    </w:p>
    <w:p>
      <w:pPr>
        <w:spacing w:after="200"/>
      </w:pPr>
      <w:r>
        <w:t xml:space="preserve">TUT Stones combines Egypt's 5,000-year geological heritage with modern luxury architectural design. The visual language is defined by rich stone textures, high-contrast dark modes, elegant Pharaonic color pigments (Terracotta Red, Nile Lapis Blue, Egyptian Gold), and classical typography.</w:t>
      </w:r>
    </w:p>
    <w:p>
      <w:pPr>
        <w:pStyle w:val="Heading1"/>
        <w:spacing w:after="120" w:before="300"/>
      </w:pPr>
      <w:r>
        <w:t xml:space="preserve">2. Color Palettes &amp; Color Schemes</w:t>
      </w:r>
    </w:p>
    <w:p>
      <w:pPr>
        <w:spacing w:after="100" w:before="100"/>
      </w:pPr>
      <w:r>
        <w:rPr>
          <w:b/>
          <w:bCs/>
          <w:color w:val="8D4F4E"/>
          <w:sz w:val="22"/>
          <w:szCs w:val="22"/>
        </w:rPr>
        <w:t xml:space="preserve">Theme 3: Pharaonic Heritage (Primary Brand Theme)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8D4F4E" w:val="clear"/>
          </w:tcPr>
          <w:p>
            <w:r>
              <w:rPr>
                <w:b/>
                <w:bCs/>
                <w:color w:val="FFFFFF"/>
              </w:rPr>
              <w:t xml:space="preserve">Token Name</w:t>
            </w:r>
          </w:p>
        </w:tc>
        <w:tc>
          <w:tcPr>
            <w:shd w:fill="8D4F4E" w:val="clear"/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shd w:fill="8D4F4E" w:val="clear"/>
          </w:tcPr>
          <w:p>
            <w:r>
              <w:rPr>
                <w:b/>
                <w:bCs/>
                <w:color w:val="FFFFFF"/>
              </w:rPr>
              <w:t xml:space="preserve">RGB Value</w:t>
            </w:r>
          </w:p>
        </w:tc>
        <w:tc>
          <w:tcPr>
            <w:shd w:fill="8D4F4E" w:val="clear"/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p>
            <w:r>
              <w:t xml:space="preserve">Egyptian Terracotta Red</w:t>
            </w:r>
          </w:p>
        </w:tc>
        <w:tc>
          <w:p>
            <w:r>
              <w:t xml:space="preserve">#8D4F4E</w:t>
            </w:r>
          </w:p>
        </w:tc>
        <w:tc>
          <w:p>
            <w:r>
              <w:t xml:space="preserve">rgb(141, 79, 78)</w:t>
            </w:r>
          </w:p>
        </w:tc>
        <w:tc>
          <w:p>
            <w:r>
              <w:t xml:space="preserve">Primary CTAs, badges, header borders</w:t>
            </w:r>
          </w:p>
        </w:tc>
      </w:tr>
      <w:tr>
        <w:tc>
          <w:p>
            <w:r>
              <w:t xml:space="preserve">Nile Lapis Blue</w:t>
            </w:r>
          </w:p>
        </w:tc>
        <w:tc>
          <w:p>
            <w:r>
              <w:t xml:space="preserve">#567394</w:t>
            </w:r>
          </w:p>
        </w:tc>
        <w:tc>
          <w:p>
            <w:r>
              <w:t xml:space="preserve">rgb(86, 115, 148)</w:t>
            </w:r>
          </w:p>
        </w:tc>
        <w:tc>
          <w:p>
            <w:r>
              <w:t xml:space="preserve">Subheaders, experience badges, icons</w:t>
            </w:r>
          </w:p>
        </w:tc>
      </w:tr>
      <w:tr>
        <w:tc>
          <w:p>
            <w:r>
              <w:t xml:space="preserve">Egyptian Sun Gold</w:t>
            </w:r>
          </w:p>
        </w:tc>
        <w:tc>
          <w:p>
            <w:r>
              <w:t xml:space="preserve">#DFB77D</w:t>
            </w:r>
          </w:p>
        </w:tc>
        <w:tc>
          <w:p>
            <w:r>
              <w:t xml:space="preserve">rgb(223, 183, 125)</w:t>
            </w:r>
          </w:p>
        </w:tc>
        <w:tc>
          <w:p>
            <w:r>
              <w:t xml:space="preserve">Header bottom border, active indicators</w:t>
            </w:r>
          </w:p>
        </w:tc>
      </w:tr>
      <w:tr>
        <w:tc>
          <w:p>
            <w:r>
              <w:t xml:space="preserve">Papyrus Light Base</w:t>
            </w:r>
          </w:p>
        </w:tc>
        <w:tc>
          <w:p>
            <w:r>
              <w:t xml:space="preserve">#F5E9D8</w:t>
            </w:r>
          </w:p>
        </w:tc>
        <w:tc>
          <w:p>
            <w:r>
              <w:t xml:space="preserve">rgb(245, 233, 216)</w:t>
            </w:r>
          </w:p>
        </w:tc>
        <w:tc>
          <w:p>
            <w:r>
              <w:t xml:space="preserve">Light theme background base</w:t>
            </w:r>
          </w:p>
        </w:tc>
      </w:tr>
      <w:tr>
        <w:tc>
          <w:p>
            <w:r>
              <w:t xml:space="preserve">Hieroglyph Charcoal</w:t>
            </w:r>
          </w:p>
        </w:tc>
        <w:tc>
          <w:p>
            <w:r>
              <w:t xml:space="preserve">#241C18</w:t>
            </w:r>
          </w:p>
        </w:tc>
        <w:tc>
          <w:p>
            <w:r>
              <w:t xml:space="preserve">rgb(36, 28, 24)</w:t>
            </w:r>
          </w:p>
        </w:tc>
        <w:tc>
          <w:p>
            <w:r>
              <w:t xml:space="preserve">Body copy text readability</w:t>
            </w:r>
          </w:p>
        </w:tc>
      </w:tr>
    </w:tbl>
    <w:p>
      <w:pPr>
        <w:spacing w:after="100" w:before="200"/>
      </w:pPr>
      <w:r>
        <w:rPr>
          <w:b/>
          <w:bCs/>
          <w:color w:val="B89025"/>
          <w:sz w:val="22"/>
          <w:szCs w:val="22"/>
        </w:rPr>
        <w:t xml:space="preserve">Theme 1: Default Dark Luxury (Noir &amp; Gold)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333333" w:val="clear"/>
          </w:tcPr>
          <w:p>
            <w:r>
              <w:rPr>
                <w:b/>
                <w:bCs/>
                <w:color w:val="FFFFFF"/>
              </w:rPr>
              <w:t xml:space="preserve">Token Name</w:t>
            </w:r>
          </w:p>
        </w:tc>
        <w:tc>
          <w:tcPr>
            <w:shd w:fill="333333" w:val="clear"/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shd w:fill="333333" w:val="clear"/>
          </w:tcPr>
          <w:p>
            <w:r>
              <w:rPr>
                <w:b/>
                <w:bCs/>
                <w:color w:val="FFFFFF"/>
              </w:rPr>
              <w:t xml:space="preserve">RGB Value</w:t>
            </w:r>
          </w:p>
        </w:tc>
        <w:tc>
          <w:tcPr>
            <w:shd w:fill="333333" w:val="clear"/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p>
            <w:r>
              <w:t xml:space="preserve">Gold Primary</w:t>
            </w:r>
          </w:p>
        </w:tc>
        <w:tc>
          <w:p>
            <w:r>
              <w:t xml:space="preserve">#D4AF37</w:t>
            </w:r>
          </w:p>
        </w:tc>
        <w:tc>
          <w:p>
            <w:r>
              <w:t xml:space="preserve">rgb(212, 175, 55)</w:t>
            </w:r>
          </w:p>
        </w:tc>
        <w:tc>
          <w:p>
            <w:r>
              <w:t xml:space="preserve">Primary CTAs, title spans</w:t>
            </w:r>
          </w:p>
        </w:tc>
      </w:tr>
      <w:tr>
        <w:tc>
          <w:p>
            <w:r>
              <w:t xml:space="preserve">Noir Dark Background</w:t>
            </w:r>
          </w:p>
        </w:tc>
        <w:tc>
          <w:p>
            <w:r>
              <w:t xml:space="preserve">#0B0C0E</w:t>
            </w:r>
          </w:p>
        </w:tc>
        <w:tc>
          <w:p>
            <w:r>
              <w:t xml:space="preserve">rgb(11, 12, 14)</w:t>
            </w:r>
          </w:p>
        </w:tc>
        <w:tc>
          <w:p>
            <w:r>
              <w:t xml:space="preserve">Dark page body background</w:t>
            </w:r>
          </w:p>
        </w:tc>
      </w:tr>
      <w:tr>
        <w:tc>
          <w:p>
            <w:r>
              <w:t xml:space="preserve">Card Surface</w:t>
            </w:r>
          </w:p>
        </w:tc>
        <w:tc>
          <w:p>
            <w:r>
              <w:t xml:space="preserve">#14161A</w:t>
            </w:r>
          </w:p>
        </w:tc>
        <w:tc>
          <w:p>
            <w:r>
              <w:t xml:space="preserve">rgb(20, 22, 26)</w:t>
            </w:r>
          </w:p>
        </w:tc>
        <w:tc>
          <w:p>
            <w:r>
              <w:t xml:space="preserve">Card containers &amp; modals</w:t>
            </w:r>
          </w:p>
        </w:tc>
      </w:tr>
      <w:tr>
        <w:tc>
          <w:p>
            <w:r>
              <w:t xml:space="preserve">Text Primary</w:t>
            </w:r>
          </w:p>
        </w:tc>
        <w:tc>
          <w:p>
            <w:r>
              <w:t xml:space="preserve">#F3F4F6</w:t>
            </w:r>
          </w:p>
        </w:tc>
        <w:tc>
          <w:p>
            <w:r>
              <w:t xml:space="preserve">rgb(243, 244, 246)</w:t>
            </w:r>
          </w:p>
        </w:tc>
        <w:tc>
          <w:p>
            <w:r>
              <w:t xml:space="preserve">High contrast white body text</w:t>
            </w:r>
          </w:p>
        </w:tc>
      </w:tr>
    </w:tbl>
    <w:p>
      <w:pPr>
        <w:pStyle w:val="Heading1"/>
        <w:spacing w:after="120" w:before="300"/>
      </w:pPr>
      <w:r>
        <w:t xml:space="preserve">3. Typography Hierarchy &amp; Font System</w:t>
      </w:r>
    </w:p>
    <w:p>
      <w:pPr>
        <w:spacing w:after="80"/>
      </w:pPr>
      <w:r>
        <w:rPr>
          <w:b/>
          <w:bCs/>
        </w:rPr>
        <w:t xml:space="preserve">Heading Font: </w:t>
      </w:r>
      <w:r>
        <w:t xml:space="preserve">Cormorant Garamond (Weights: 400, 500, 600, 700; Fallbacks: Georgia, serif)</w:t>
      </w:r>
    </w:p>
    <w:p>
      <w:pPr>
        <w:spacing w:after="80"/>
      </w:pPr>
      <w:r>
        <w:rPr>
          <w:b/>
          <w:bCs/>
        </w:rPr>
        <w:t xml:space="preserve">Pharaonic Accent Font: </w:t>
      </w:r>
      <w:r>
        <w:t xml:space="preserve">Cinzel / Cinzel Decorative (Weights: 600, 700, 800)</w:t>
      </w:r>
    </w:p>
    <w:p>
      <w:pPr>
        <w:spacing w:after="200"/>
      </w:pPr>
      <w:r>
        <w:rPr>
          <w:b/>
          <w:bCs/>
        </w:rPr>
        <w:t xml:space="preserve">Body Copy Font: </w:t>
      </w:r>
      <w:r>
        <w:t xml:space="preserve">Plus Jakarta Sans (Weights: 300, 400, 500, 600, 700; Fallbacks: system-ui, sans-serif)</w:t>
      </w:r>
    </w:p>
    <w:p>
      <w:pPr>
        <w:pStyle w:val="Heading1"/>
        <w:spacing w:after="120" w:before="300"/>
      </w:pPr>
      <w:r>
        <w:t xml:space="preserve">4. Complete Design Assets Catalog (design_assets/)</w:t>
      </w:r>
    </w:p>
    <w:p>
      <w:pPr>
        <w:spacing w:after="120"/>
      </w:pPr>
      <w:r>
        <w:t xml:space="preserve">All high-resolution image files copied into design_assets/ folder: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67394" w:val="clear"/>
          </w:tcPr>
          <w:p>
            <w:r>
              <w:rPr>
                <w:b/>
                <w:bCs/>
                <w:color w:val="FFFFFF"/>
              </w:rPr>
              <w:t xml:space="preserve">Filename</w:t>
            </w:r>
          </w:p>
        </w:tc>
        <w:tc>
          <w:tcPr>
            <w:shd w:fill="567394" w:val="clea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shd w:fill="567394" w:val="clear"/>
          </w:tcPr>
          <w:p>
            <w:r>
              <w:rPr>
                <w:b/>
                <w:bCs/>
                <w:color w:val="FFFFFF"/>
              </w:rPr>
              <w:t xml:space="preserve">Description &amp; Usage</w:t>
            </w:r>
          </w:p>
        </w:tc>
      </w:tr>
      <w:tr>
        <w:tc>
          <w:p>
            <w:r>
              <w:t xml:space="preserve">tut_stones_logo_without_background.png</w:t>
            </w:r>
          </w:p>
        </w:tc>
        <w:tc>
          <w:p>
            <w:r>
              <w:t xml:space="preserve">PNG (Transparent)</w:t>
            </w:r>
          </w:p>
        </w:tc>
        <w:tc>
          <w:p>
            <w:r>
              <w:t xml:space="preserve">Isolated brand logo emblem with transparent background</w:t>
            </w:r>
          </w:p>
        </w:tc>
      </w:tr>
      <w:tr>
        <w:tc>
          <w:p>
            <w:r>
              <w:t xml:space="preserve">tut_stones_logo_with_background.png</w:t>
            </w:r>
          </w:p>
        </w:tc>
        <w:tc>
          <w:p>
            <w:r>
              <w:t xml:space="preserve">PNG</w:t>
            </w:r>
          </w:p>
        </w:tc>
        <w:tc>
          <w:p>
            <w:r>
              <w:t xml:space="preserve">Brand emblem set on dark Pharaonic stone texture</w:t>
            </w:r>
          </w:p>
        </w:tc>
      </w:tr>
      <w:tr>
        <w:tc>
          <w:p>
            <w:r>
              <w:t xml:space="preserve">tut_stones_logo.png</w:t>
            </w:r>
          </w:p>
        </w:tc>
        <w:tc>
          <w:p>
            <w:r>
              <w:t xml:space="preserve">PNG</w:t>
            </w:r>
          </w:p>
        </w:tc>
        <w:tc>
          <w:p>
            <w:r>
              <w:t xml:space="preserve">Original header navbar brand mark</w:t>
            </w:r>
          </w:p>
        </w:tc>
      </w:tr>
      <w:tr>
        <w:tc>
          <w:p>
            <w:r>
              <w:t xml:space="preserve">pharaonic_temple_bg.png</w:t>
            </w:r>
          </w:p>
        </w:tc>
        <w:tc>
          <w:p>
            <w:r>
              <w:t xml:space="preserve">PNG (1920x1080)</w:t>
            </w:r>
          </w:p>
        </w:tc>
        <w:tc>
          <w:p>
            <w:r>
              <w:t xml:space="preserve">Karnak Pharaonic Temple background image for Slide 1</w:t>
            </w:r>
          </w:p>
        </w:tc>
      </w:tr>
      <w:tr>
        <w:tc>
          <w:p>
            <w:r>
              <w:t xml:space="preserve">egyptian_stone_beauty_bg.png</w:t>
            </w:r>
          </w:p>
        </w:tc>
        <w:tc>
          <w:p>
            <w:r>
              <w:t xml:space="preserve">PNG (1920x1080)</w:t>
            </w:r>
          </w:p>
        </w:tc>
        <w:tc>
          <w:p>
            <w:r>
              <w:t xml:space="preserve">Egyptian Pyramids &amp; stone relief background for Slide 2</w:t>
            </w:r>
          </w:p>
        </w:tc>
      </w:tr>
      <w:tr>
        <w:tc>
          <w:p>
            <w:r>
              <w:t xml:space="preserve">factory_processing.png</w:t>
            </w:r>
          </w:p>
        </w:tc>
        <w:tc>
          <w:p>
            <w:r>
              <w:t xml:space="preserve">PNG (1920x1080)</w:t>
            </w:r>
          </w:p>
        </w:tc>
        <w:tc>
          <w:p>
            <w:r>
              <w:t xml:space="preserve">Industrial gangsaw machinery &amp; polishing factory banner</w:t>
            </w:r>
          </w:p>
        </w:tc>
      </w:tr>
      <w:tr>
        <w:tc>
          <w:p>
            <w:r>
              <w:t xml:space="preserve">packaging_loading.png</w:t>
            </w:r>
          </w:p>
        </w:tc>
        <w:tc>
          <w:p>
            <w:r>
              <w:t xml:space="preserve">PNG (1920x1080)</w:t>
            </w:r>
          </w:p>
        </w:tc>
        <w:tc>
          <w:p>
            <w:r>
              <w:t xml:space="preserve">ISPM-15 wooden crate packaging &amp; container lashing preview</w:t>
            </w:r>
          </w:p>
        </w:tc>
      </w:tr>
      <w:tr>
        <w:tc>
          <w:p>
            <w:r>
              <w:t xml:space="preserve">about_craft.png</w:t>
            </w:r>
          </w:p>
        </w:tc>
        <w:tc>
          <w:p>
            <w:r>
              <w:t xml:space="preserve">PNG</w:t>
            </w:r>
          </w:p>
        </w:tc>
        <w:tc>
          <w:p>
            <w:r>
              <w:t xml:space="preserve">Egyptian stonemasonry craftsmanship feature image</w:t>
            </w:r>
          </w:p>
        </w:tc>
      </w:tr>
      <w:tr>
        <w:tc>
          <w:p>
            <w:r>
              <w:t xml:space="preserve">marble_calacatta.png</w:t>
            </w:r>
          </w:p>
        </w:tc>
        <w:tc>
          <w:p>
            <w:r>
              <w:t xml:space="preserve">PNG</w:t>
            </w:r>
          </w:p>
        </w:tc>
        <w:tc>
          <w:p>
            <w:r>
              <w:t xml:space="preserve">Egyptian Galala / Calacatta Marble swatch tile</w:t>
            </w:r>
          </w:p>
        </w:tc>
      </w:tr>
      <w:tr>
        <w:tc>
          <w:p>
            <w:r>
              <w:t xml:space="preserve">granite_black_galaxy.png</w:t>
            </w:r>
          </w:p>
        </w:tc>
        <w:tc>
          <w:p>
            <w:r>
              <w:t xml:space="preserve">PNG</w:t>
            </w:r>
          </w:p>
        </w:tc>
        <w:tc>
          <w:p>
            <w:r>
              <w:t xml:space="preserve">Egyptian Black Granite swatch tile</w:t>
            </w:r>
          </w:p>
        </w:tc>
      </w:tr>
    </w:tbl>
    <w:p>
      <w:pPr>
        <w:pStyle w:val="Heading1"/>
        <w:spacing w:after="120" w:before="300"/>
      </w:pPr>
      <w:r>
        <w:t xml:space="preserve">5. Official Company Contact Details</w:t>
      </w:r>
    </w:p>
    <w:p>
      <w:pPr>
        <w:spacing w:after="80"/>
      </w:pPr>
      <w:r>
        <w:rPr>
          <w:b/>
          <w:bCs/>
        </w:rPr>
        <w:t xml:space="preserve">Factory Address: </w:t>
      </w:r>
      <w:r>
        <w:t xml:space="preserve">Plot D1 &amp; D2 – Industrial Zone – Shak El Thoaban – Tura – Maadi – Cairo – Egypt.</w:t>
      </w:r>
    </w:p>
    <w:p>
      <w:pPr>
        <w:spacing w:after="80"/>
      </w:pPr>
      <w:r>
        <w:rPr>
          <w:b/>
          <w:bCs/>
        </w:rPr>
        <w:t xml:space="preserve">Google Maps Location: </w:t>
      </w:r>
      <w:r>
        <w:t xml:space="preserve">https://maps.app.goo.gl/aJqNQiZidc59BU3h7</w:t>
      </w:r>
    </w:p>
    <w:p>
      <w:pPr>
        <w:spacing w:after="80"/>
      </w:pPr>
      <w:r>
        <w:rPr>
          <w:b/>
          <w:bCs/>
        </w:rPr>
        <w:t xml:space="preserve">Contact Number / WhatsApp: </w:t>
      </w:r>
      <w:r>
        <w:t xml:space="preserve">+201104539397</w:t>
      </w:r>
    </w:p>
    <w:p>
      <w:pPr>
        <w:spacing w:after="200"/>
      </w:pPr>
      <w:r>
        <w:rPr>
          <w:b/>
          <w:bCs/>
        </w:rPr>
        <w:t xml:space="preserve">Official Emails: </w:t>
      </w:r>
      <w:r>
        <w:t xml:space="preserve">info@tutstones.com | sales@tutstones.com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2026-08-25T06:25:55.337Z</dcterms:created>
  <dcterms:modified xsi:type="dcterms:W3CDTF">2026-08-25T06:25:55.337Z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