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eastAsia="Calibri"/>
          <w:b/>
          <w:color w:val="0B2545"/>
          <w:sz w:val="46"/>
        </w:rPr>
        <w:t>Instacart KMeans Müşteri Segmentasyonu</w:t>
      </w:r>
    </w:p>
    <w:p>
      <w:pPr>
        <w:spacing w:after="180"/>
      </w:pPr>
      <w:r>
        <w:rPr>
          <w:rFonts w:ascii="Calibri" w:hAnsi="Calibri" w:eastAsia="Calibri"/>
          <w:color w:val="5F6B78"/>
          <w:sz w:val="25"/>
        </w:rPr>
        <w:t>Veri hazırlığından segment yorumlamaya kısa çalışma özeti</w:t>
      </w:r>
    </w:p>
    <w:p>
      <w:pPr>
        <w:spacing w:after="240"/>
      </w:pPr>
      <w:r>
        <w:rPr>
          <w:rFonts w:ascii="Calibri" w:hAnsi="Calibri" w:eastAsia="Calibri"/>
          <w:b/>
          <w:color w:val="2E74B5"/>
          <w:sz w:val="19"/>
        </w:rPr>
        <w:t>Kurs bitirme projesi  |  206.209 müşteri  |  Nihai model: KMeans, k = 3</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10" w:type="dxa"/>
              <w:start w:w="150" w:type="dxa"/>
              <w:bottom w:w="110" w:type="dxa"/>
              <w:end w:w="150" w:type="dxa"/>
            </w:tcMar>
            <w:vAlign w:val="center"/>
            <w:shd w:fill="F4F6F9"/>
          </w:tcPr>
          <w:p>
            <w:pPr>
              <w:spacing w:after="0" w:line="259" w:lineRule="auto"/>
            </w:pPr>
            <w:r/>
            <w:r>
              <w:rPr>
                <w:rFonts w:ascii="Calibri" w:hAnsi="Calibri" w:eastAsia="Calibri"/>
                <w:b/>
                <w:color w:val="2E74B5"/>
                <w:sz w:val="20"/>
              </w:rPr>
              <w:t xml:space="preserve">Araştırma sorusu: </w:t>
            </w:r>
            <w:r>
              <w:rPr>
                <w:rFonts w:ascii="Calibri" w:hAnsi="Calibri" w:eastAsia="Calibri"/>
                <w:color w:val="0B2545"/>
                <w:sz w:val="20"/>
              </w:rPr>
              <w:t>Müşteriler geçmiş alışveriş davranışlarına göre hangi anlamlı segmentlere ayrılabilir? Yarışma için ayrılmış train/test yapısı tahmin amacı taşımadığından, bütün müşteriler için ortak ve karşılaştırılabilir geçmiş olan prior siparişleri kullanıldı.</w:t>
            </w:r>
          </w:p>
        </w:tc>
      </w:tr>
    </w:tbl>
    <w:p>
      <w:pPr>
        <w:spacing w:after="20"/>
      </w:pPr>
    </w:p>
    <w:p>
      <w:pPr>
        <w:pStyle w:val="Heading1"/>
        <w:keepNext/>
      </w:pPr>
      <w:r>
        <w:t>1. BigQuery - müşteri düzeyine giden veri hazırlığı</w:t>
      </w:r>
    </w:p>
    <w:tbl>
      <w:tblPr>
        <w:tblW w:type="dxa" w:w="9360"/>
        <w:jc w:val="left"/>
        <w:tblLayout w:type="fixed"/>
        <w:tblLook w:firstColumn="1" w:firstRow="1" w:lastColumn="0" w:lastRow="0" w:noHBand="0" w:noVBand="1" w:val="04A0"/>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3120"/>
        <w:gridCol w:w="3120"/>
        <w:gridCol w:w="3120"/>
      </w:tblGrid>
      <w:tr>
        <w:tc>
          <w:tcPr>
            <w:tcW w:type="dxa" w:w="3120"/>
            <w:tcMar>
              <w:top w:w="110" w:type="dxa"/>
              <w:start w:w="120" w:type="dxa"/>
              <w:bottom w:w="110" w:type="dxa"/>
              <w:end w:w="120" w:type="dxa"/>
            </w:tcMar>
            <w:vAlign w:val="center"/>
            <w:shd w:fill="E8EEF5"/>
          </w:tcPr>
          <w:p>
            <w:pPr>
              <w:spacing w:after="40"/>
              <w:jc w:val="center"/>
            </w:pPr>
            <w:r/>
            <w:r>
              <w:rPr>
                <w:rFonts w:ascii="Calibri" w:hAnsi="Calibri" w:eastAsia="Calibri"/>
                <w:b/>
                <w:color w:val="2E74B5"/>
                <w:sz w:val="18"/>
              </w:rPr>
              <w:t>01</w:t>
            </w:r>
          </w:p>
          <w:p>
            <w:pPr>
              <w:spacing w:after="20"/>
              <w:jc w:val="center"/>
            </w:pPr>
            <w:r>
              <w:rPr>
                <w:rFonts w:ascii="Calibri" w:hAnsi="Calibri" w:eastAsia="Calibri"/>
                <w:b/>
                <w:color w:val="0B2545"/>
                <w:sz w:val="20"/>
              </w:rPr>
              <w:t>Ham siparişleri sınırla</w:t>
            </w:r>
          </w:p>
          <w:p>
            <w:pPr>
              <w:spacing w:after="0"/>
              <w:jc w:val="center"/>
            </w:pPr>
            <w:r>
              <w:rPr>
                <w:rFonts w:ascii="Calibri" w:hAnsi="Calibri" w:eastAsia="Calibri"/>
                <w:color w:val="5F6B78"/>
                <w:sz w:val="17"/>
              </w:rPr>
              <w:t>Sadece prior geçmişi</w:t>
            </w:r>
          </w:p>
        </w:tc>
        <w:tc>
          <w:tcPr>
            <w:tcW w:type="dxa" w:w="3120"/>
            <w:tcMar>
              <w:top w:w="110" w:type="dxa"/>
              <w:start w:w="120" w:type="dxa"/>
              <w:bottom w:w="110" w:type="dxa"/>
              <w:end w:w="120" w:type="dxa"/>
            </w:tcMar>
            <w:vAlign w:val="center"/>
            <w:shd w:fill="E8EEF5"/>
          </w:tcPr>
          <w:p>
            <w:pPr>
              <w:spacing w:after="40"/>
              <w:jc w:val="center"/>
            </w:pPr>
            <w:r/>
            <w:r>
              <w:rPr>
                <w:rFonts w:ascii="Calibri" w:hAnsi="Calibri" w:eastAsia="Calibri"/>
                <w:b/>
                <w:color w:val="2E74B5"/>
                <w:sz w:val="18"/>
              </w:rPr>
              <w:t>02</w:t>
            </w:r>
          </w:p>
          <w:p>
            <w:pPr>
              <w:spacing w:after="20"/>
              <w:jc w:val="center"/>
            </w:pPr>
            <w:r>
              <w:rPr>
                <w:rFonts w:ascii="Calibri" w:hAnsi="Calibri" w:eastAsia="Calibri"/>
                <w:b/>
                <w:color w:val="0B2545"/>
                <w:sz w:val="20"/>
              </w:rPr>
              <w:t>Siparişi özetle</w:t>
            </w:r>
          </w:p>
          <w:p>
            <w:pPr>
              <w:spacing w:after="0"/>
              <w:jc w:val="center"/>
            </w:pPr>
            <w:r>
              <w:rPr>
                <w:rFonts w:ascii="Calibri" w:hAnsi="Calibri" w:eastAsia="Calibri"/>
                <w:color w:val="5F6B78"/>
                <w:sz w:val="17"/>
              </w:rPr>
              <w:t>1 satır = 1 sipariş</w:t>
            </w:r>
          </w:p>
        </w:tc>
        <w:tc>
          <w:tcPr>
            <w:tcW w:type="dxa" w:w="3120"/>
            <w:tcMar>
              <w:top w:w="110" w:type="dxa"/>
              <w:start w:w="120" w:type="dxa"/>
              <w:bottom w:w="110" w:type="dxa"/>
              <w:end w:w="120" w:type="dxa"/>
            </w:tcMar>
            <w:vAlign w:val="center"/>
            <w:shd w:fill="DCE9F5"/>
          </w:tcPr>
          <w:p>
            <w:pPr>
              <w:spacing w:after="40"/>
              <w:jc w:val="center"/>
            </w:pPr>
            <w:r/>
            <w:r>
              <w:rPr>
                <w:rFonts w:ascii="Calibri" w:hAnsi="Calibri" w:eastAsia="Calibri"/>
                <w:b/>
                <w:color w:val="2E74B5"/>
                <w:sz w:val="18"/>
              </w:rPr>
              <w:t>03</w:t>
            </w:r>
          </w:p>
          <w:p>
            <w:pPr>
              <w:spacing w:after="20"/>
              <w:jc w:val="center"/>
            </w:pPr>
            <w:r>
              <w:rPr>
                <w:rFonts w:ascii="Calibri" w:hAnsi="Calibri" w:eastAsia="Calibri"/>
                <w:b/>
                <w:color w:val="0B2545"/>
                <w:sz w:val="20"/>
              </w:rPr>
              <w:t>Müşteriyi özetle</w:t>
            </w:r>
          </w:p>
          <w:p>
            <w:pPr>
              <w:spacing w:after="0"/>
              <w:jc w:val="center"/>
            </w:pPr>
            <w:r>
              <w:rPr>
                <w:rFonts w:ascii="Calibri" w:hAnsi="Calibri" w:eastAsia="Calibri"/>
                <w:color w:val="5F6B78"/>
                <w:sz w:val="17"/>
              </w:rPr>
              <w:t>1 satır = 1 müşteri</w:t>
            </w:r>
          </w:p>
        </w:tc>
      </w:tr>
    </w:tbl>
    <w:p>
      <w:pPr>
        <w:spacing w:after="20"/>
      </w:pPr>
    </w:p>
    <w:p>
      <w:pPr>
        <w:pStyle w:val="Heading2"/>
        <w:keepNext/>
      </w:pPr>
      <w:r>
        <w:t>1.1 stg_orders_prior</w:t>
      </w:r>
    </w:p>
    <w:p>
      <w:pPr>
        <w:spacing w:before="0" w:after="60" w:line="259" w:lineRule="auto"/>
      </w:pPr>
      <w:r>
        <w:rPr>
          <w:rFonts w:ascii="Calibri" w:hAnsi="Calibri" w:eastAsia="Calibri"/>
          <w:b/>
          <w:color w:val="0B2545"/>
          <w:sz w:val="19"/>
        </w:rPr>
        <w:t>Yapı:</w:t>
      </w:r>
      <w:r>
        <w:rPr>
          <w:rFonts w:ascii="Calibri" w:hAnsi="Calibri" w:eastAsia="Calibri"/>
          <w:color w:val="0B2545"/>
          <w:sz w:val="19"/>
        </w:rPr>
        <w:t xml:space="preserve"> 1 satır = 1 sipariş; order_id tektir. Kaynak orders tablosu, filtre eval_set = 'prior'. Amaç, modelde kullanılacak ortak geçmiş sipariş kapsamını temiz biçimde ayırmaktır.</w:t>
      </w:r>
    </w:p>
    <w:p>
      <w:pPr>
        <w:spacing w:before="0" w:after="80" w:line="259" w:lineRule="auto"/>
      </w:pPr>
      <w:r>
        <w:rPr>
          <w:rFonts w:ascii="Calibri" w:hAnsi="Calibri" w:eastAsia="Calibri"/>
          <w:b/>
          <w:color w:val="0B2545"/>
          <w:sz w:val="19"/>
        </w:rPr>
        <w:t>Kolonlar:</w:t>
      </w:r>
      <w:r>
        <w:rPr>
          <w:rFonts w:ascii="Calibri" w:hAnsi="Calibri" w:eastAsia="Calibri"/>
          <w:color w:val="0B2545"/>
          <w:sz w:val="19"/>
        </w:rPr>
        <w:t xml:space="preserve"> order_id siparişi, user_id müşteriyi, order_number müşterinin kaçıncı siparişi olduğunu, order_dow haftanın kodlanmış gününü, order_hour_of_day saati, days_since_prior_order önceki siparişten geçen günü gösterir.</w:t>
      </w:r>
    </w:p>
    <w:p>
      <w:pPr>
        <w:pStyle w:val="Heading2"/>
        <w:keepNext/>
      </w:pPr>
      <w:r>
        <w:t>1.2 int_order_features_prior</w:t>
      </w:r>
    </w:p>
    <w:p>
      <w:pPr>
        <w:spacing w:before="0" w:after="60" w:line="259" w:lineRule="auto"/>
      </w:pPr>
      <w:r>
        <w:rPr>
          <w:rFonts w:ascii="Calibri" w:hAnsi="Calibri" w:eastAsia="Calibri"/>
          <w:b/>
          <w:color w:val="0B2545"/>
          <w:sz w:val="19"/>
        </w:rPr>
        <w:t>Yapı:</w:t>
      </w:r>
      <w:r>
        <w:rPr>
          <w:rFonts w:ascii="Calibri" w:hAnsi="Calibri" w:eastAsia="Calibri"/>
          <w:color w:val="0B2545"/>
          <w:sz w:val="19"/>
        </w:rPr>
        <w:t xml:space="preserve"> 1 satır = 1 sipariş. stg_orders_prior ile order_products__prior order_id üzerinden birleştirildi. Amaç, ürün satırlarını sipariş düzeyine özetleyerek sepet ve tekrar satın alma ölçülerini üretmektir.</w:t>
      </w:r>
    </w:p>
    <w:p>
      <w:pPr>
        <w:spacing w:before="0" w:after="80" w:line="259" w:lineRule="auto"/>
      </w:pPr>
      <w:r>
        <w:rPr>
          <w:rFonts w:ascii="Calibri" w:hAnsi="Calibri" w:eastAsia="Calibri"/>
          <w:b/>
          <w:color w:val="0B2545"/>
          <w:sz w:val="19"/>
        </w:rPr>
        <w:t>Ek kolonlar:</w:t>
      </w:r>
      <w:r>
        <w:rPr>
          <w:rFonts w:ascii="Calibri" w:hAnsi="Calibri" w:eastAsia="Calibri"/>
          <w:color w:val="0B2545"/>
          <w:sz w:val="19"/>
        </w:rPr>
        <w:t xml:space="preserve"> basket_size siparişteki ürün kaydı sayısıdır; reordered_item_count bunlardan daha önce alınmış olanların sayısıdır; order_reorder_rate ise reordered_item_count / basket_size oranıdır. Veri fiziksel ürün adedini değil, ürün satırlarını gösterir.</w:t>
      </w:r>
    </w:p>
    <w:p>
      <w:pPr>
        <w:pStyle w:val="Heading2"/>
        <w:keepNext/>
      </w:pPr>
      <w:r>
        <w:t>1.3 customer_features_raw</w:t>
      </w:r>
    </w:p>
    <w:p>
      <w:pPr>
        <w:spacing w:before="0" w:after="60" w:line="259" w:lineRule="auto"/>
      </w:pPr>
      <w:r>
        <w:rPr>
          <w:rFonts w:ascii="Calibri" w:hAnsi="Calibri" w:eastAsia="Calibri"/>
          <w:b/>
          <w:color w:val="0B2545"/>
          <w:sz w:val="19"/>
        </w:rPr>
        <w:t>Yapı:</w:t>
      </w:r>
      <w:r>
        <w:rPr>
          <w:rFonts w:ascii="Calibri" w:hAnsi="Calibri" w:eastAsia="Calibri"/>
          <w:color w:val="0B2545"/>
          <w:sz w:val="19"/>
        </w:rPr>
        <w:t xml:space="preserve"> 1 satır = 1 müşteri; user_id tektir ve toplam 206.209 müşteri vardır. Sipariş özellikleri ile ürünlerin aisle/department kimlikleri müşteri düzeyinde toplulaştırıldı. Amaç, KMeans'e girebilecek davranış değişkenlerini tek tabloda toplamaktır.</w:t>
      </w:r>
    </w:p>
    <w:p>
      <w:pPr>
        <w:spacing w:before="0" w:after="40" w:line="259" w:lineRule="auto"/>
      </w:pPr>
      <w:r>
        <w:rPr>
          <w:rFonts w:ascii="Calibri" w:hAnsi="Calibri" w:eastAsia="Calibri"/>
          <w:b/>
          <w:color w:val="0B2545"/>
          <w:sz w:val="19"/>
        </w:rPr>
        <w:t>Kolon grupları:</w:t>
      </w:r>
      <w:r>
        <w:rPr>
          <w:rFonts w:ascii="Calibri" w:hAnsi="Calibri" w:eastAsia="Calibri"/>
          <w:color w:val="0B2545"/>
          <w:sz w:val="19"/>
        </w:rPr>
        <w:t xml:space="preserve"> Aktivite - total_orders, total_items. Sepet ve zaman - avg_basket_size, basket_size_std, avg_days_between_orders, days_between_orders_std. Tekrar/çeşitlilik - reorder_rate, distinct_products, product_diversity_ratio. Kategori yayılımı - distinct_aisles, distinct_departments, top_department_share.</w:t>
      </w:r>
    </w:p>
    <w:p>
      <w:r>
        <w:br w:type="page"/>
      </w:r>
    </w:p>
    <w:p>
      <w:pPr>
        <w:pStyle w:val="Heading1"/>
        <w:keepNext/>
      </w:pPr>
      <w:r>
        <w:t>2. Colab - modelleme hazırlığı ve KMeans</w:t>
      </w:r>
    </w:p>
    <w:p>
      <w:pPr>
        <w:spacing w:before="0" w:after="120" w:line="259" w:lineRule="auto"/>
      </w:pPr>
      <w:r>
        <w:rPr>
          <w:rFonts w:ascii="Calibri" w:hAnsi="Calibri" w:eastAsia="Calibri"/>
          <w:color w:val="0B2545"/>
          <w:sz w:val="21"/>
        </w:rPr>
        <w:t>BigQuery'deki müşteri tablosu Colab'a 206.209 satır ve 13 kolon olarak alındı. user_id yalnızca müşteriyi tanımlamak için tutuldu; modele özellik olarak verilmedi.</w:t>
      </w:r>
    </w:p>
    <w:p>
      <w:pPr>
        <w:pStyle w:val="Heading2"/>
        <w:keepNext/>
      </w:pPr>
      <w:r>
        <w:t>2.1 Kalite kontrolü ve özellik seçimi</w:t>
      </w:r>
    </w:p>
    <w:p>
      <w:pPr>
        <w:spacing w:before="0" w:after="100" w:line="259" w:lineRule="auto"/>
      </w:pPr>
      <w:r>
        <w:rPr>
          <w:rFonts w:ascii="Calibri" w:hAnsi="Calibri" w:eastAsia="Calibri"/>
          <w:color w:val="0B2545"/>
          <w:sz w:val="20"/>
        </w:rPr>
        <w:t>Müşteri tekilliği, eksik değerler, dağılımlar ve korelasyonlar kontrol edildi. Aynı davranışı tekrar eden değişkenlerin modele gereğinden fazla ağırlık vermemesi için yüksek ilişkili özelliklerin tamamı birlikte kullanılmadı. Örneğin product_diversity_ratio ile reorder_rate tam ters yönlü aynı bilgiyi taşıdığı için yalnızca reorder_rate seçildi.</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50"/>
        <w:gridCol w:w="6510"/>
      </w:tblGrid>
      <w:tr>
        <w:trPr>
          <w:tblHeader w:val="true"/>
        </w:trPr>
        <w:tc>
          <w:tcPr>
            <w:tcW w:type="dxa" w:w="285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b/>
                <w:color w:val="1F4D78"/>
                <w:sz w:val="19"/>
              </w:rPr>
              <w:t>Model özelliği</w:t>
            </w:r>
          </w:p>
        </w:tc>
        <w:tc>
          <w:tcPr>
            <w:tcW w:type="dxa" w:w="651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b/>
                <w:color w:val="1F4D78"/>
                <w:sz w:val="19"/>
              </w:rPr>
              <w:t>Davranışsal anlamı</w:t>
            </w:r>
          </w:p>
        </w:tc>
      </w:tr>
      <w:tr>
        <w:tc>
          <w:tcPr>
            <w:tcW w:type="dxa" w:w="2850"/>
            <w:tcMar>
              <w:top w:w="80" w:type="dxa"/>
              <w:start w:w="120" w:type="dxa"/>
              <w:bottom w:w="80" w:type="dxa"/>
              <w:end w:w="120" w:type="dxa"/>
            </w:tcMar>
            <w:vAlign w:val="center"/>
          </w:tcPr>
          <w:p>
            <w:pPr>
              <w:spacing w:before="0" w:after="0" w:line="252" w:lineRule="auto"/>
              <w:jc w:val="left"/>
            </w:pPr>
            <w:r/>
            <w:r>
              <w:rPr>
                <w:rFonts w:ascii="Calibri" w:hAnsi="Calibri" w:eastAsia="Calibri"/>
                <w:b/>
                <w:color w:val="0B2545"/>
                <w:sz w:val="18"/>
              </w:rPr>
              <w:t>total_orders</w:t>
            </w:r>
          </w:p>
        </w:tc>
        <w:tc>
          <w:tcPr>
            <w:tcW w:type="dxa" w:w="65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Müşterinin geçmiş sipariş sayısı; alışveriş aktivitesini gösterir.</w:t>
            </w:r>
          </w:p>
        </w:tc>
      </w:tr>
      <w:tr>
        <w:tc>
          <w:tcPr>
            <w:tcW w:type="dxa" w:w="2850"/>
            <w:tcMar>
              <w:top w:w="80" w:type="dxa"/>
              <w:start w:w="120" w:type="dxa"/>
              <w:bottom w:w="80" w:type="dxa"/>
              <w:end w:w="120" w:type="dxa"/>
            </w:tcMar>
            <w:vAlign w:val="center"/>
          </w:tcPr>
          <w:p>
            <w:pPr>
              <w:spacing w:before="0" w:after="0" w:line="252" w:lineRule="auto"/>
              <w:jc w:val="left"/>
            </w:pPr>
            <w:r/>
            <w:r>
              <w:rPr>
                <w:rFonts w:ascii="Calibri" w:hAnsi="Calibri" w:eastAsia="Calibri"/>
                <w:b/>
                <w:color w:val="0B2545"/>
                <w:sz w:val="18"/>
              </w:rPr>
              <w:t>avg_basket_size</w:t>
            </w:r>
          </w:p>
        </w:tc>
        <w:tc>
          <w:tcPr>
            <w:tcW w:type="dxa" w:w="65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Sipariş başına ortalama ürün kaydı; sepet büyüklüğünü gösterir.</w:t>
            </w:r>
          </w:p>
        </w:tc>
      </w:tr>
      <w:tr>
        <w:tc>
          <w:tcPr>
            <w:tcW w:type="dxa" w:w="2850"/>
            <w:tcMar>
              <w:top w:w="80" w:type="dxa"/>
              <w:start w:w="120" w:type="dxa"/>
              <w:bottom w:w="80" w:type="dxa"/>
              <w:end w:w="120" w:type="dxa"/>
            </w:tcMar>
            <w:vAlign w:val="center"/>
          </w:tcPr>
          <w:p>
            <w:pPr>
              <w:spacing w:before="0" w:after="0" w:line="252" w:lineRule="auto"/>
              <w:jc w:val="left"/>
            </w:pPr>
            <w:r/>
            <w:r>
              <w:rPr>
                <w:rFonts w:ascii="Calibri" w:hAnsi="Calibri" w:eastAsia="Calibri"/>
                <w:b/>
                <w:color w:val="0B2545"/>
                <w:sz w:val="18"/>
              </w:rPr>
              <w:t>avg_days_between_orders</w:t>
            </w:r>
          </w:p>
        </w:tc>
        <w:tc>
          <w:tcPr>
            <w:tcW w:type="dxa" w:w="65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İki sipariş arasındaki ortalama gün; alışveriş sıklığını gösterir.</w:t>
            </w:r>
          </w:p>
        </w:tc>
      </w:tr>
      <w:tr>
        <w:tc>
          <w:tcPr>
            <w:tcW w:type="dxa" w:w="2850"/>
            <w:tcMar>
              <w:top w:w="80" w:type="dxa"/>
              <w:start w:w="120" w:type="dxa"/>
              <w:bottom w:w="80" w:type="dxa"/>
              <w:end w:w="120" w:type="dxa"/>
            </w:tcMar>
            <w:vAlign w:val="center"/>
          </w:tcPr>
          <w:p>
            <w:pPr>
              <w:spacing w:before="0" w:after="0" w:line="252" w:lineRule="auto"/>
              <w:jc w:val="left"/>
            </w:pPr>
            <w:r/>
            <w:r>
              <w:rPr>
                <w:rFonts w:ascii="Calibri" w:hAnsi="Calibri" w:eastAsia="Calibri"/>
                <w:b/>
                <w:color w:val="0B2545"/>
                <w:sz w:val="18"/>
              </w:rPr>
              <w:t>reorder_rate</w:t>
            </w:r>
          </w:p>
        </w:tc>
        <w:tc>
          <w:tcPr>
            <w:tcW w:type="dxa" w:w="65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Daha önce alınmış ürünlerin payı; tekrar satın alma davranışını gösterir.</w:t>
            </w:r>
          </w:p>
        </w:tc>
      </w:tr>
      <w:tr>
        <w:tc>
          <w:tcPr>
            <w:tcW w:type="dxa" w:w="2850"/>
            <w:tcMar>
              <w:top w:w="80" w:type="dxa"/>
              <w:start w:w="120" w:type="dxa"/>
              <w:bottom w:w="80" w:type="dxa"/>
              <w:end w:w="120" w:type="dxa"/>
            </w:tcMar>
            <w:vAlign w:val="center"/>
          </w:tcPr>
          <w:p>
            <w:pPr>
              <w:spacing w:before="0" w:after="0" w:line="252" w:lineRule="auto"/>
              <w:jc w:val="left"/>
            </w:pPr>
            <w:r/>
            <w:r>
              <w:rPr>
                <w:rFonts w:ascii="Calibri" w:hAnsi="Calibri" w:eastAsia="Calibri"/>
                <w:b/>
                <w:color w:val="0B2545"/>
                <w:sz w:val="18"/>
              </w:rPr>
              <w:t>top_department_share</w:t>
            </w:r>
          </w:p>
        </w:tc>
        <w:tc>
          <w:tcPr>
            <w:tcW w:type="dxa" w:w="65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Müşterinin kendi favori departmanının kendi alışverişlerindeki payıdır.</w:t>
            </w:r>
          </w:p>
        </w:tc>
      </w:tr>
    </w:tbl>
    <w:p>
      <w:pPr>
        <w:pStyle w:val="Heading2"/>
        <w:keepNext/>
      </w:pPr>
      <w:r>
        <w:t>2.2 Dönüşüm ve ölçeklendirme</w:t>
      </w:r>
    </w:p>
    <w:p>
      <w:pPr>
        <w:spacing w:before="0" w:after="100" w:line="259" w:lineRule="auto"/>
      </w:pPr>
      <w:r>
        <w:rPr>
          <w:rFonts w:ascii="Calibri" w:hAnsi="Calibri" w:eastAsia="Calibri"/>
          <w:color w:val="0B2545"/>
          <w:sz w:val="20"/>
        </w:rPr>
        <w:t>total_orders ve avg_basket_size sağa çarpık olduğu için log1p dönüşümü uygulandı. Ardından beş özellik StandardScaler ile ortalaması yaklaşık 0, standart sapması 1 olacak şekilde aynı ölçeğe getirildi. Böylece büyük sayısal değerler KMeans uzaklık hesabını tek başına yönetmedi.</w:t>
      </w:r>
    </w:p>
    <w:p>
      <w:pPr>
        <w:pStyle w:val="Heading2"/>
        <w:keepNext/>
      </w:pPr>
      <w:r>
        <w:t>2.3 Neden üç küme seçildi?</w:t>
      </w:r>
    </w:p>
    <w:p>
      <w:pPr>
        <w:spacing w:before="0" w:after="100" w:line="259" w:lineRule="auto"/>
      </w:pPr>
      <w:r>
        <w:rPr>
          <w:rFonts w:ascii="Calibri" w:hAnsi="Calibri" w:eastAsia="Calibri"/>
          <w:color w:val="0B2545"/>
          <w:sz w:val="20"/>
        </w:rPr>
        <w:t>Elbow grafiğinde tek ve keskin bir kırılma görülmedi; k = 3 ve k = 4 makul adaylardı. Silhouette Score k = 2 için yaklaşık 0,274, k = 3 için 0,267 ve k = 4 için 0,206 oldu. İki küme teknik olarak biraz daha yüksek skor verse de üç küme çok küçük bir skor kaybıyla davranışsal olarak daha açıklayıcı üçüncü bir müşteri grubunu ayırdı. Dört ve üzeri kümelerde skor belirgin düştü.</w:t>
      </w:r>
    </w:p>
    <w:tbl>
      <w:tblPr>
        <w:tblW w:type="dxa" w:w="9360"/>
        <w:jc w:val="left"/>
        <w:tblLayout w:type="fixed"/>
        <w:tblLook w:firstColumn="1" w:firstRow="1" w:lastColumn="0" w:lastRow="0" w:noHBand="0" w:noVBand="1" w:val="04A0"/>
        <w:tblInd w:w="120" w:type="dxa"/>
        <w:tblBorders>
          <w:top w:val="single" w:sz="8" w:space="0" w:color="1F4D78"/>
          <w:left w:val="single" w:sz="8" w:space="0" w:color="1F4D78"/>
          <w:bottom w:val="single" w:sz="8" w:space="0" w:color="1F4D78"/>
          <w:right w:val="single" w:sz="8" w:space="0" w:color="1F4D78"/>
          <w:insideH w:val="single" w:sz="8" w:space="0" w:color="1F4D78"/>
          <w:insideV w:val="single" w:sz="8" w:space="0" w:color="1F4D78"/>
        </w:tblBorders>
      </w:tblPr>
      <w:tblGrid>
        <w:gridCol w:w="9360"/>
      </w:tblGrid>
      <w:tr>
        <w:tc>
          <w:tcPr>
            <w:tcW w:type="dxa" w:w="9360"/>
            <w:tcMar>
              <w:top w:w="110" w:type="dxa"/>
              <w:start w:w="150" w:type="dxa"/>
              <w:bottom w:w="110" w:type="dxa"/>
              <w:end w:w="150" w:type="dxa"/>
            </w:tcMar>
            <w:vAlign w:val="center"/>
            <w:shd w:fill="EEF4FA"/>
          </w:tcPr>
          <w:p>
            <w:pPr>
              <w:spacing w:after="0" w:line="259" w:lineRule="auto"/>
            </w:pPr>
            <w:r/>
            <w:r>
              <w:rPr>
                <w:rFonts w:ascii="Calibri" w:hAnsi="Calibri" w:eastAsia="Calibri"/>
                <w:b/>
                <w:color w:val="1F4D78"/>
                <w:sz w:val="20"/>
              </w:rPr>
              <w:t xml:space="preserve">Nihai karar: </w:t>
            </w:r>
            <w:r>
              <w:rPr>
                <w:rFonts w:ascii="Calibri" w:hAnsi="Calibri" w:eastAsia="Calibri"/>
                <w:color w:val="0B2545"/>
                <w:sz w:val="20"/>
              </w:rPr>
              <w:t>KMeans(n_clusters=3, random_state=42, n_init=10) kullanıldı. Sonuç: Cluster 0 = %45,97; Cluster 1 = %36,44; Cluster 2 = %17,59. Kümelerin hiçbiri anlamsız derecede küçük değildir.</w:t>
            </w:r>
          </w:p>
        </w:tc>
      </w:tr>
    </w:tbl>
    <w:p>
      <w:pPr>
        <w:spacing w:after="20"/>
      </w:pPr>
    </w:p>
    <w:p>
      <w:pPr>
        <w:pStyle w:val="Heading2"/>
        <w:keepNext/>
      </w:pPr>
      <w:r>
        <w:t>2.4 Sonuçların kaydedilmesi</w:t>
      </w:r>
    </w:p>
    <w:p>
      <w:pPr>
        <w:spacing w:before="0" w:after="80" w:line="259" w:lineRule="auto"/>
      </w:pPr>
      <w:r>
        <w:rPr>
          <w:rFonts w:ascii="Calibri" w:hAnsi="Calibri" w:eastAsia="Calibri"/>
          <w:color w:val="0B2545"/>
          <w:sz w:val="20"/>
        </w:rPr>
        <w:t>Her müşteriye cluster ve segment_name eklendi. customer_segments_kmeans müşteri düzeyindeki nihai sonuçları, cluster_profiles ise üç segmentin özet ortalamalarını içerir. Her iki tablo kendi BigQuery dataset'imize yazıldı; ham kaynak tablolar değiştirilmedi.</w:t>
      </w:r>
    </w:p>
    <w:p>
      <w:pPr>
        <w:spacing w:before="0" w:after="40" w:line="259" w:lineRule="auto"/>
      </w:pPr>
      <w:r>
        <w:rPr>
          <w:rFonts w:ascii="Calibri" w:hAnsi="Calibri" w:eastAsia="Calibri"/>
          <w:b/>
          <w:color w:val="0B2545"/>
          <w:sz w:val="19"/>
        </w:rPr>
        <w:t>Yöntem notu:</w:t>
      </w:r>
      <w:r>
        <w:rPr>
          <w:rFonts w:ascii="Calibri" w:hAnsi="Calibri" w:eastAsia="Calibri"/>
          <w:color w:val="0B2545"/>
          <w:sz w:val="19"/>
        </w:rPr>
        <w:t xml:space="preserve"> Silhouette değerleri kümelerin tamamen ayrışmış doğal gruplar olmadığını gösterir. Bu nedenle segmentler mutlak gerçekler değil, müşteri davranışını yönetilebilir üç profil halinde özetleyen analitik sınıflandırmalardır.</w:t>
      </w:r>
    </w:p>
    <w:p>
      <w:r>
        <w:br w:type="page"/>
      </w:r>
    </w:p>
    <w:p>
      <w:pPr>
        <w:pStyle w:val="Heading1"/>
        <w:keepNext/>
      </w:pPr>
      <w:r>
        <w:t>3. Kümelerin davranış profilleri</w:t>
      </w:r>
    </w:p>
    <w:p>
      <w:pPr>
        <w:spacing w:before="0" w:after="100" w:line="259" w:lineRule="auto"/>
      </w:pPr>
      <w:r>
        <w:rPr>
          <w:rFonts w:ascii="Calibri" w:hAnsi="Calibri" w:eastAsia="Calibri"/>
          <w:color w:val="0B2545"/>
          <w:sz w:val="19"/>
        </w:rPr>
        <w:t>KMeans yalnızca 0, 1 ve 2 etiketlerini üretir. İsimler, ham ölçekteki ortalama davranışlara göre sonradan verilmiştir; cluster numaraları bir başarı sıralaması değildir. top_department_share her müşteri için ayrı hesaplanır ve tabloda bu bireysel oranların küme ortalaması gösterilir.</w:t>
      </w:r>
    </w:p>
    <w:tbl>
      <w:tblPr>
        <w:tblW w:type="dxa" w:w="9360"/>
        <w:jc w:val="left"/>
        <w:tblLayout w:type="fixed"/>
        <w:tblLook w:firstColumn="1" w:firstRow="1" w:lastColumn="0" w:lastRow="0" w:noHBand="0" w:noVBand="1" w:val="04A0"/>
        <w:tblInd w:w="120" w:type="dxa"/>
        <w:tblBorders>
          <w:top w:val="single" w:sz="8" w:space="0" w:color="4E79A7"/>
          <w:left w:val="single" w:sz="8" w:space="0" w:color="4E79A7"/>
          <w:bottom w:val="single" w:sz="8" w:space="0" w:color="4E79A7"/>
          <w:right w:val="single" w:sz="8" w:space="0" w:color="4E79A7"/>
          <w:insideH w:val="single" w:sz="8" w:space="0" w:color="4E79A7"/>
          <w:insideV w:val="single" w:sz="8" w:space="0" w:color="4E79A7"/>
        </w:tblBorders>
      </w:tblPr>
      <w:tblGrid>
        <w:gridCol w:w="9360"/>
      </w:tblGrid>
      <w:tr>
        <w:tc>
          <w:tcPr>
            <w:tcW w:type="dxa" w:w="9360"/>
            <w:tcMar>
              <w:top w:w="80" w:type="dxa"/>
              <w:start w:w="140" w:type="dxa"/>
              <w:bottom w:w="80" w:type="dxa"/>
              <w:end w:w="140" w:type="dxa"/>
            </w:tcMar>
            <w:vAlign w:val="center"/>
            <w:shd w:fill="4E79A7"/>
          </w:tcPr>
          <w:p>
            <w:pPr>
              <w:spacing w:after="0"/>
            </w:pPr>
            <w:r/>
            <w:r>
              <w:rPr>
                <w:rFonts w:ascii="Calibri" w:hAnsi="Calibri" w:eastAsia="Calibri"/>
                <w:b/>
                <w:color w:val="FFFFFF"/>
                <w:sz w:val="22"/>
              </w:rPr>
              <w:t>Cluster 0 | Seyrek ve Keşif Odaklı</w:t>
            </w:r>
            <w:r>
              <w:rPr>
                <w:rFonts w:ascii="Calibri" w:hAnsi="Calibri" w:eastAsia="Calibri"/>
                <w:b/>
                <w:color w:val="FFFFFF"/>
                <w:sz w:val="19"/>
              </w:rPr>
              <w:t xml:space="preserve">    94.802 müşteri - %45,97</w:t>
            </w:r>
          </w:p>
        </w:tc>
      </w:tr>
    </w:tbl>
    <w:p>
      <w:pPr>
        <w:spacing w:before="0" w:after="60" w:line="259" w:lineRule="auto"/>
      </w:pPr>
      <w:r>
        <w:rPr>
          <w:rFonts w:ascii="Calibri" w:hAnsi="Calibri" w:eastAsia="Calibri"/>
          <w:color w:val="0B2545"/>
          <w:sz w:val="19"/>
        </w:rPr>
        <w:t>Az ve uzun aralıklarla sipariş verir; sepeti görece büyük olsa da tekrar sipariş oranı düşüktür. 'Keşif' ifadesi psikolojik bir yargı değil, daha az tekrar edilen ürün davranışının kısa adıdır.</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0"/>
        <w:gridCol w:w="2860"/>
      </w:tblGrid>
      <w:tr>
        <w:trPr>
          <w:tblHeader w:val="true"/>
        </w:trPr>
        <w:tc>
          <w:tcPr>
            <w:tcW w:type="dxa" w:w="650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b/>
                <w:color w:val="1F4D78"/>
                <w:sz w:val="19"/>
              </w:rPr>
              <w:t>Gösterge</w:t>
            </w:r>
          </w:p>
        </w:tc>
        <w:tc>
          <w:tcPr>
            <w:tcW w:type="dxa" w:w="2860"/>
            <w:tcMar>
              <w:top w:w="80" w:type="dxa"/>
              <w:start w:w="120" w:type="dxa"/>
              <w:bottom w:w="80" w:type="dxa"/>
              <w:end w:w="120" w:type="dxa"/>
            </w:tcMar>
            <w:vAlign w:val="center"/>
            <w:shd w:fill="F2F4F7"/>
          </w:tcPr>
          <w:p>
            <w:pPr>
              <w:spacing w:before="0" w:after="0" w:line="252" w:lineRule="auto"/>
              <w:jc w:val="center"/>
            </w:pPr>
            <w:r/>
            <w:r>
              <w:rPr>
                <w:rFonts w:ascii="Calibri" w:hAnsi="Calibri" w:eastAsia="Calibri"/>
                <w:b/>
                <w:color w:val="1F4D78"/>
                <w:sz w:val="19"/>
              </w:rPr>
              <w:t>Ortalama</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Toplam sipariş sayısı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6,56</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Sepet büyüklüğü</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11,09 ürün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Siparişler arası süre</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18,59 gün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Tekrar sipariş oranı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%28,27</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En çok tercih edilen departmanın payı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%31,14</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59A14F"/>
          <w:left w:val="single" w:sz="8" w:space="0" w:color="59A14F"/>
          <w:bottom w:val="single" w:sz="8" w:space="0" w:color="59A14F"/>
          <w:right w:val="single" w:sz="8" w:space="0" w:color="59A14F"/>
          <w:insideH w:val="single" w:sz="8" w:space="0" w:color="59A14F"/>
          <w:insideV w:val="single" w:sz="8" w:space="0" w:color="59A14F"/>
        </w:tblBorders>
      </w:tblPr>
      <w:tblGrid>
        <w:gridCol w:w="9360"/>
      </w:tblGrid>
      <w:tr>
        <w:tc>
          <w:tcPr>
            <w:tcW w:type="dxa" w:w="9360"/>
            <w:tcMar>
              <w:top w:w="80" w:type="dxa"/>
              <w:start w:w="140" w:type="dxa"/>
              <w:bottom w:w="80" w:type="dxa"/>
              <w:end w:w="140" w:type="dxa"/>
            </w:tcMar>
            <w:vAlign w:val="center"/>
            <w:shd w:fill="59A14F"/>
          </w:tcPr>
          <w:p>
            <w:pPr>
              <w:spacing w:after="0"/>
            </w:pPr>
            <w:r/>
            <w:r>
              <w:rPr>
                <w:rFonts w:ascii="Calibri" w:hAnsi="Calibri" w:eastAsia="Calibri"/>
                <w:b/>
                <w:color w:val="FFFFFF"/>
                <w:sz w:val="22"/>
              </w:rPr>
              <w:t>Cluster 1 | Aktif ve Sadık</w:t>
            </w:r>
            <w:r>
              <w:rPr>
                <w:rFonts w:ascii="Calibri" w:hAnsi="Calibri" w:eastAsia="Calibri"/>
                <w:b/>
                <w:color w:val="FFFFFF"/>
                <w:sz w:val="19"/>
              </w:rPr>
              <w:t xml:space="preserve">    75.136 müşteri - %36,44</w:t>
            </w:r>
          </w:p>
        </w:tc>
      </w:tr>
    </w:tbl>
    <w:p>
      <w:pPr>
        <w:spacing w:before="0" w:after="60" w:line="259" w:lineRule="auto"/>
      </w:pPr>
      <w:r>
        <w:rPr>
          <w:rFonts w:ascii="Calibri" w:hAnsi="Calibri" w:eastAsia="Calibri"/>
          <w:color w:val="0B2545"/>
          <w:sz w:val="19"/>
        </w:rPr>
        <w:t>En çok sipariş veren, en kısa aralıkla alışveriş yapan ve daha önce aldığı ürünleri en yüksek oranda tekrar seçen gruptur. 'Sadık' burada ürün tekrarı anlamındadır; kârlılık iddiası değildir.</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0"/>
        <w:gridCol w:w="2860"/>
      </w:tblGrid>
      <w:tr>
        <w:trPr>
          <w:tblHeader w:val="true"/>
        </w:trPr>
        <w:tc>
          <w:tcPr>
            <w:tcW w:type="dxa" w:w="650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b/>
                <w:color w:val="1F4D78"/>
                <w:sz w:val="19"/>
              </w:rPr>
              <w:t>Gösterge</w:t>
            </w:r>
          </w:p>
        </w:tc>
        <w:tc>
          <w:tcPr>
            <w:tcW w:type="dxa" w:w="2860"/>
            <w:tcMar>
              <w:top w:w="80" w:type="dxa"/>
              <w:start w:w="120" w:type="dxa"/>
              <w:bottom w:w="80" w:type="dxa"/>
              <w:end w:w="120" w:type="dxa"/>
            </w:tcMar>
            <w:vAlign w:val="center"/>
            <w:shd w:fill="F2F4F7"/>
          </w:tcPr>
          <w:p>
            <w:pPr>
              <w:spacing w:before="0" w:after="0" w:line="252" w:lineRule="auto"/>
              <w:jc w:val="center"/>
            </w:pPr>
            <w:r/>
            <w:r>
              <w:rPr>
                <w:rFonts w:ascii="Calibri" w:hAnsi="Calibri" w:eastAsia="Calibri"/>
                <w:b/>
                <w:color w:val="1F4D78"/>
                <w:sz w:val="19"/>
              </w:rPr>
              <w:t>Ortalama</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Toplam sipariş sayısı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30,15</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Sepet büyüklüğü</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11,16 ürün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Siparişler arası süre</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9,90 gün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Tekrar sipariş oranı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%61,67</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En çok tercih edilen departmanın payı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%34,35</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F28E2B"/>
          <w:left w:val="single" w:sz="8" w:space="0" w:color="F28E2B"/>
          <w:bottom w:val="single" w:sz="8" w:space="0" w:color="F28E2B"/>
          <w:right w:val="single" w:sz="8" w:space="0" w:color="F28E2B"/>
          <w:insideH w:val="single" w:sz="8" w:space="0" w:color="F28E2B"/>
          <w:insideV w:val="single" w:sz="8" w:space="0" w:color="F28E2B"/>
        </w:tblBorders>
      </w:tblPr>
      <w:tblGrid>
        <w:gridCol w:w="9360"/>
      </w:tblGrid>
      <w:tr>
        <w:tc>
          <w:tcPr>
            <w:tcW w:type="dxa" w:w="9360"/>
            <w:tcMar>
              <w:top w:w="80" w:type="dxa"/>
              <w:start w:w="140" w:type="dxa"/>
              <w:bottom w:w="80" w:type="dxa"/>
              <w:end w:w="140" w:type="dxa"/>
            </w:tcMar>
            <w:vAlign w:val="center"/>
            <w:shd w:fill="F28E2B"/>
          </w:tcPr>
          <w:p>
            <w:pPr>
              <w:spacing w:after="0"/>
            </w:pPr>
            <w:r/>
            <w:r>
              <w:rPr>
                <w:rFonts w:ascii="Calibri" w:hAnsi="Calibri" w:eastAsia="Calibri"/>
                <w:b/>
                <w:color w:val="FFFFFF"/>
                <w:sz w:val="22"/>
              </w:rPr>
              <w:t>Cluster 2 | Kategori Odaklı Küçük Sepetli</w:t>
            </w:r>
            <w:r>
              <w:rPr>
                <w:rFonts w:ascii="Calibri" w:hAnsi="Calibri" w:eastAsia="Calibri"/>
                <w:b/>
                <w:color w:val="FFFFFF"/>
                <w:sz w:val="19"/>
              </w:rPr>
              <w:t xml:space="preserve">    36.271 müşteri - %17,59</w:t>
            </w:r>
          </w:p>
        </w:tc>
      </w:tr>
    </w:tbl>
    <w:p>
      <w:pPr>
        <w:spacing w:before="0" w:after="60" w:line="259" w:lineRule="auto"/>
      </w:pPr>
      <w:r>
        <w:rPr>
          <w:rFonts w:ascii="Calibri" w:hAnsi="Calibri" w:eastAsia="Calibri"/>
          <w:color w:val="0B2545"/>
          <w:sz w:val="19"/>
        </w:rPr>
        <w:t>Sipariş başına yaklaşık 4-5 ürün alır ve alışverişini kendi favori departmanında yoğunlaştırır. Tekrar sipariş davranışı orta düzeydedir; sepeti genişletmek için tamamlayıcı kategori önerileri düşünülebilir.</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0"/>
        <w:gridCol w:w="2860"/>
      </w:tblGrid>
      <w:tr>
        <w:trPr>
          <w:tblHeader w:val="true"/>
        </w:trPr>
        <w:tc>
          <w:tcPr>
            <w:tcW w:type="dxa" w:w="650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b/>
                <w:color w:val="1F4D78"/>
                <w:sz w:val="19"/>
              </w:rPr>
              <w:t>Gösterge</w:t>
            </w:r>
          </w:p>
        </w:tc>
        <w:tc>
          <w:tcPr>
            <w:tcW w:type="dxa" w:w="2860"/>
            <w:tcMar>
              <w:top w:w="80" w:type="dxa"/>
              <w:start w:w="120" w:type="dxa"/>
              <w:bottom w:w="80" w:type="dxa"/>
              <w:end w:w="120" w:type="dxa"/>
            </w:tcMar>
            <w:vAlign w:val="center"/>
            <w:shd w:fill="F2F4F7"/>
          </w:tcPr>
          <w:p>
            <w:pPr>
              <w:spacing w:before="0" w:after="0" w:line="252" w:lineRule="auto"/>
              <w:jc w:val="center"/>
            </w:pPr>
            <w:r/>
            <w:r>
              <w:rPr>
                <w:rFonts w:ascii="Calibri" w:hAnsi="Calibri" w:eastAsia="Calibri"/>
                <w:b/>
                <w:color w:val="1F4D78"/>
                <w:sz w:val="19"/>
              </w:rPr>
              <w:t>Ortalama</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Toplam sipariş sayısı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9,02</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Sepet büyüklüğü</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4,48 ürün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Siparişler arası süre</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17,37 gün</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Tekrar sipariş oranı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%44,11</w:t>
            </w:r>
          </w:p>
        </w:tc>
      </w:tr>
      <w:tr>
        <w:tc>
          <w:tcPr>
            <w:tcW w:type="dxa" w:w="6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0B2545"/>
                <w:sz w:val="18"/>
              </w:rPr>
              <w:t>En çok tercih edilen departmanın payı</w:t>
            </w:r>
          </w:p>
        </w:tc>
        <w:tc>
          <w:tcPr>
            <w:tcW w:type="dxa" w:w="2860"/>
            <w:tcMar>
              <w:top w:w="80" w:type="dxa"/>
              <w:start w:w="120" w:type="dxa"/>
              <w:bottom w:w="80" w:type="dxa"/>
              <w:end w:w="120" w:type="dxa"/>
            </w:tcMar>
            <w:vAlign w:val="center"/>
          </w:tcPr>
          <w:p>
            <w:pPr>
              <w:spacing w:before="0" w:after="0" w:line="252" w:lineRule="auto"/>
              <w:jc w:val="center"/>
            </w:pPr>
            <w:r/>
            <w:r>
              <w:rPr>
                <w:rFonts w:ascii="Calibri" w:hAnsi="Calibri" w:eastAsia="Calibri"/>
                <w:b/>
                <w:color w:val="0B2545"/>
                <w:sz w:val="18"/>
              </w:rPr>
              <w:t>%57,82</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F6B78"/>
        <w:sz w:val="17"/>
      </w:rPr>
      <w:t xml:space="preserve">Sayfa </w:t>
    </w:r>
    <w:r>
      <w:rPr>
        <w:rFonts w:ascii="Calibri" w:hAnsi="Calibri" w:eastAsia="Calibri"/>
        <w:color w:val="5F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8"/>
        <w:sz w:val="17"/>
      </w:rPr>
      <w:t>INSTACART | KMEANS MÜŞTERİ SEGMENTASYONU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Instacart KMeans Müşteri Segmentasyonu - Çalışma Özeti</dc:title>
  <dc:subject>BigQuery veri hazırlığı, Colab modelleme ve cluster profilleri</dc:subject>
  <dc:creator/>
  <cp:keywords>Instacart, KMeans, müşteri segmentasyonu, BigQuery, Colab</cp:keywords>
  <dc:description>generated by python-docx</dc:description>
  <cp:lastModifiedBy/>
  <cp:revision>1</cp:revision>
  <dcterms:created xsi:type="dcterms:W3CDTF">2013-12-23T23:15:00Z</dcterms:created>
  <dcterms:modified xsi:type="dcterms:W3CDTF">2013-12-23T23:15:00Z</dcterms:modified>
  <cp:category/>
</cp:coreProperties>
</file>