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pPr>
      <w:r>
        <w:rPr>
          <w:b/>
          <w:color w:val="C59B46"/>
          <w:sz w:val="22"/>
        </w:rPr>
        <w:t>БАСТ НЕДВИЖИМОСТЬ</w:t>
      </w:r>
    </w:p>
    <w:p>
      <w:pPr>
        <w:pStyle w:val="Title"/>
      </w:pPr>
      <w:r>
        <w:t>Инвестиционный тизер PropTech-платформы «БАСТ Недвижимость»</w:t>
      </w:r>
    </w:p>
    <w:p>
      <w:pPr>
        <w:pStyle w:val="Subtitle"/>
      </w:pPr>
      <w:r>
        <w:t>Предложение о приобретении доли и стратегическом участии в развитии платформы</w:t>
      </w:r>
    </w:p>
    <w:p>
      <w:pPr>
        <w:pStyle w:val="Heading1"/>
      </w:pPr>
      <w:r>
        <w:t>Главное продуктовое отличие</w:t>
      </w:r>
    </w:p>
    <w:p>
      <w:r>
        <w:t>«БАСТ Недвижимость» работает как открытая сеть совместных продаж. Объект, который публикует частный продавец, риэлтор, агентство или застройщик, становится доступен всей сети одобренных риэлторов. Каждый из них может рекомендовать объект своим клиентам через персональную ссылку или QR-код.</w:t>
      </w:r>
    </w:p>
    <w:p>
      <w:r>
        <w:t>Платформа фиксирует источник рекомендации, но не ограничивает покупателя в выборе специалиста для оформления сделки. В результате продавец или застройщик получает распределённый канал продвижения, риэлтор — общий пул объектов, а покупатель — выбор предложений и представителей в одном приложении.</w:t>
      </w:r>
    </w:p>
    <w:tbl>
      <w:tblPr>
        <w:tblW w:type="dxa" w:w="9360"/>
        <w:jc w:val="left"/>
        <w:tblLayout w:type="fixed"/>
        <w:tblLook w:firstColumn="1" w:firstRow="1" w:lastColumn="0" w:lastRow="0" w:noHBand="0" w:noVBand="1" w:val="04A0"/>
        <w:tblInd w:w="180" w:type="dxa"/>
        <w:tblBorders>
          <w:top w:val="single" w:sz="8" w:space="0" w:color="9AA8B6"/>
          <w:left w:val="single" w:sz="8" w:space="0" w:color="9AA8B6"/>
          <w:bottom w:val="single" w:sz="8" w:space="0" w:color="9AA8B6"/>
          <w:right w:val="single" w:sz="8" w:space="0" w:color="9AA8B6"/>
          <w:insideH w:val="single" w:sz="8" w:space="0" w:color="9AA8B6"/>
          <w:insideV w:val="single" w:sz="8" w:space="0" w:color="9AA8B6"/>
        </w:tblBorders>
      </w:tblPr>
      <w:tblGrid>
        <w:gridCol w:w="2880"/>
        <w:gridCol w:w="6480"/>
      </w:tblGrid>
      <w:tr>
        <w:trPr>
          <w:tblHeader w:val="true"/>
        </w:trPr>
        <w:tc>
          <w:tcPr>
            <w:tcW w:type="dxa" w:w="2880"/>
            <w:tcMar>
              <w:top w:w="120" w:type="dxa"/>
              <w:start w:w="180" w:type="dxa"/>
              <w:bottom w:w="120" w:type="dxa"/>
              <w:end w:w="180" w:type="dxa"/>
            </w:tcMar>
            <w:vAlign w:val="center"/>
            <w:shd w:fill="FFFFFF"/>
          </w:tcPr>
          <w:p>
            <w:r>
              <w:rPr>
                <w:b/>
                <w:color w:val="10243E"/>
              </w:rPr>
              <w:t>Параметр</w:t>
            </w:r>
          </w:p>
        </w:tc>
        <w:tc>
          <w:tcPr>
            <w:tcW w:type="dxa" w:w="6480"/>
            <w:tcMar>
              <w:top w:w="120" w:type="dxa"/>
              <w:start w:w="180" w:type="dxa"/>
              <w:bottom w:w="120" w:type="dxa"/>
              <w:end w:w="180" w:type="dxa"/>
            </w:tcMar>
            <w:vAlign w:val="center"/>
            <w:shd w:fill="FFFFFF"/>
          </w:tcPr>
          <w:p>
            <w:r>
              <w:rPr>
                <w:b/>
                <w:color w:val="10243E"/>
              </w:rPr>
              <w:t>Условия</w:t>
            </w:r>
          </w:p>
        </w:tc>
      </w:tr>
      <w:tr>
        <w:tc>
          <w:tcPr>
            <w:tcW w:type="dxa" w:w="2880"/>
            <w:tcMar>
              <w:top w:w="120" w:type="dxa"/>
              <w:start w:w="180" w:type="dxa"/>
              <w:bottom w:w="120" w:type="dxa"/>
              <w:end w:w="180" w:type="dxa"/>
            </w:tcMar>
            <w:vAlign w:val="center"/>
            <w:shd w:fill="FFFFFF"/>
          </w:tcPr>
          <w:p>
            <w:r>
              <w:rPr>
                <w:b/>
                <w:color w:val="10243E"/>
              </w:rPr>
              <w:t>Приоритетный формат</w:t>
            </w:r>
          </w:p>
        </w:tc>
        <w:tc>
          <w:tcPr>
            <w:tcW w:type="dxa" w:w="6480"/>
            <w:tcMar>
              <w:top w:w="120" w:type="dxa"/>
              <w:start w:w="180" w:type="dxa"/>
              <w:bottom w:w="120" w:type="dxa"/>
              <w:end w:w="180" w:type="dxa"/>
            </w:tcMar>
            <w:vAlign w:val="center"/>
            <w:shd w:fill="FFFFFF"/>
          </w:tcPr>
          <w:p>
            <w:r>
              <w:t>Приобретение доли и стратегическое участие в развитии платформы</w:t>
            </w:r>
          </w:p>
        </w:tc>
      </w:tr>
      <w:tr>
        <w:tc>
          <w:tcPr>
            <w:tcW w:type="dxa" w:w="2880"/>
            <w:tcMar>
              <w:top w:w="120" w:type="dxa"/>
              <w:start w:w="180" w:type="dxa"/>
              <w:bottom w:w="120" w:type="dxa"/>
              <w:end w:w="180" w:type="dxa"/>
            </w:tcMar>
            <w:vAlign w:val="center"/>
            <w:shd w:fill="FFFFFF"/>
          </w:tcPr>
          <w:p>
            <w:r>
              <w:rPr>
                <w:b/>
                <w:color w:val="10243E"/>
              </w:rPr>
              <w:t>Альтернативный формат</w:t>
            </w:r>
          </w:p>
        </w:tc>
        <w:tc>
          <w:tcPr>
            <w:tcW w:type="dxa" w:w="6480"/>
            <w:tcMar>
              <w:top w:w="120" w:type="dxa"/>
              <w:start w:w="180" w:type="dxa"/>
              <w:bottom w:w="120" w:type="dxa"/>
              <w:end w:w="180" w:type="dxa"/>
            </w:tcMar>
            <w:vAlign w:val="center"/>
            <w:shd w:fill="FFFFFF"/>
          </w:tcPr>
          <w:p>
            <w:r>
              <w:t>Полный выкуп платформы по отдельной договорённости</w:t>
            </w:r>
          </w:p>
        </w:tc>
      </w:tr>
      <w:tr>
        <w:tc>
          <w:tcPr>
            <w:tcW w:type="dxa" w:w="2880"/>
            <w:tcMar>
              <w:top w:w="120" w:type="dxa"/>
              <w:start w:w="180" w:type="dxa"/>
              <w:bottom w:w="120" w:type="dxa"/>
              <w:end w:w="180" w:type="dxa"/>
            </w:tcMar>
            <w:vAlign w:val="center"/>
            <w:shd w:fill="FFFFFF"/>
          </w:tcPr>
          <w:p>
            <w:r>
              <w:rPr>
                <w:b/>
                <w:color w:val="10243E"/>
              </w:rPr>
              <w:t>Статус</w:t>
            </w:r>
          </w:p>
        </w:tc>
        <w:tc>
          <w:tcPr>
            <w:tcW w:type="dxa" w:w="6480"/>
            <w:tcMar>
              <w:top w:w="120" w:type="dxa"/>
              <w:start w:w="180" w:type="dxa"/>
              <w:bottom w:w="120" w:type="dxa"/>
              <w:end w:w="180" w:type="dxa"/>
            </w:tcMar>
            <w:vAlign w:val="center"/>
            <w:shd w:fill="FFFFFF"/>
          </w:tcPr>
          <w:p>
            <w:r>
              <w:t>Предварительный инвестиционный тизер; условия обсуждаются после демонстрации и NDA</w:t>
            </w:r>
          </w:p>
        </w:tc>
      </w:tr>
    </w:tbl>
    <w:p>
      <w:pPr>
        <w:pStyle w:val="Heading1"/>
      </w:pPr>
      <w:r>
        <w:t>Инвестиционная идея</w:t>
      </w:r>
    </w:p>
    <w:p>
      <w:r>
        <w:rPr>
          <w:b/>
        </w:rPr>
        <w:t xml:space="preserve">Стратегический инвестор получает долю в действующей PropTech-платформе: </w:t>
      </w:r>
      <w:r>
        <w:t>мобильное приложение опубликовано в App Store и Google Play, веб-CRM доступна профессиональным участникам рынка, а продуктовая модель объединяет покупателей, риэлторов, агентства и застройщиков в одной сети продаж.</w:t>
      </w:r>
    </w:p>
    <w:p>
      <w:r>
        <w:br w:type="page"/>
      </w:r>
    </w:p>
    <w:p>
      <w:pPr>
        <w:pStyle w:val="Heading1"/>
      </w:pPr>
      <w:r>
        <w:t>Кратко о предложении</w:t>
      </w:r>
    </w:p>
    <w:p>
      <w:r>
        <w:t>«БАСТ Недвижимость» предлагает стратегическому инвестору приобрести долю в платформе для совместных продаж загородной недвижимости. Приоритетный сценарий сохраняет проект и создаёт основу для его дальнейшего развития вместе с инвестором.</w:t>
      </w:r>
    </w:p>
    <w:p>
      <w:pPr>
        <w:pStyle w:val="Heading2"/>
      </w:pPr>
      <w:r>
        <w:t>Структура сделки</w:t>
      </w:r>
    </w:p>
    <w:p>
      <w:pPr>
        <w:pStyle w:val="ListBullet"/>
      </w:pPr>
      <w:r>
        <w:t>приобретение доли у текущего собственника;</w:t>
      </w:r>
    </w:p>
    <w:p>
      <w:pPr>
        <w:pStyle w:val="ListBullet"/>
      </w:pPr>
      <w:r>
        <w:t>инвестиция непосредственно в компанию;</w:t>
      </w:r>
    </w:p>
    <w:p>
      <w:pPr>
        <w:pStyle w:val="ListBullet"/>
      </w:pPr>
      <w:r>
        <w:t>комбинированный вариант: часть средств получает собственник, часть направляется на развитие;</w:t>
      </w:r>
    </w:p>
    <w:p>
      <w:pPr>
        <w:pStyle w:val="ListBullet"/>
      </w:pPr>
      <w:r>
        <w:t>полный выкуп платформы как альтернативный сценарий.</w:t>
      </w:r>
    </w:p>
    <w:p>
      <w:r>
        <w:t>Размер доли, оценка компании, объём инвестиций, корпоративные права сторон и дальнейшее участие текущего собственника определяются в ходе переговоров.</w:t>
      </w:r>
    </w:p>
    <w:p>
      <w:pPr>
        <w:pStyle w:val="Heading1"/>
      </w:pPr>
      <w:r>
        <w:t>Что такое «БАСТ Недвижимость»</w:t>
      </w:r>
    </w:p>
    <w:p>
      <w:r>
        <w:t>«БАСТ Недвижимость» — мобильное приложение и веб-CRM, построенные вокруг открытой сети совместных продаж загородной недвижимости.</w:t>
      </w:r>
    </w:p>
    <w:p>
      <w:r>
        <w:t>Объект, опубликованный на платформе, могут рекомендовать покупателям разные риэлторы. Продавец или застройщик получает дополнительный канал продвижения, риэлтор — общий пул объектов, а покупатель — выбор объектов, представителей и условий сделки в одном приложении.</w:t>
      </w:r>
    </w:p>
    <w:p>
      <w:r>
        <w:t>Платформа связывает автора объявления, продавца, пригласившего риэлтора, представителя покупателя и ответственного за оформление сделки. Эти роли могут принадлежать разным участникам.</w:t>
      </w:r>
    </w:p>
    <w:p>
      <w:r>
        <w:br w:type="page"/>
      </w:r>
    </w:p>
    <w:p>
      <w:pPr>
        <w:pStyle w:val="Heading1"/>
      </w:pPr>
      <w:r>
        <w:t>Как работает открытая сеть продаж</w:t>
      </w:r>
    </w:p>
    <w:p>
      <w:pPr>
        <w:pStyle w:val="Heading2"/>
      </w:pPr>
      <w:r>
        <w:t>1. Публикация объекта</w:t>
      </w:r>
    </w:p>
    <w:p>
      <w:r>
        <w:t>Объявление может создать частное лицо, риэлтор или компания. Автор объявления выступает продавцом либо представляет собственника или застройщика. Компания может одновременно публиковать собственные объекты и объекты застройщиков, которых представляет на платформе.</w:t>
      </w:r>
    </w:p>
    <w:p>
      <w:pPr>
        <w:pStyle w:val="Heading2"/>
      </w:pPr>
      <w:r>
        <w:t>2. Подключение риэлторов</w:t>
      </w:r>
    </w:p>
    <w:p>
      <w:r>
        <w:t>После одобрения заявки на профессиональный тип аккаунта риэлтор сразу получает возможность делиться доступными объявлениями через персональные ссылки и QR-коды. Риэлтор может работать самостоятельно или входить в команду застройщика либо агентства.</w:t>
      </w:r>
    </w:p>
    <w:p>
      <w:pPr>
        <w:pStyle w:val="Heading2"/>
      </w:pPr>
      <w:r>
        <w:t>3. Фиксация источника рекомендации</w:t>
      </w:r>
    </w:p>
    <w:p>
      <w:r>
        <w:t>При переходе покупателя по персональной ссылке или QR-коду платформа фиксирует риэлтора, который познакомил клиента с объектом.</w:t>
      </w:r>
    </w:p>
    <w:p>
      <w:r>
        <w:t>Покупатель может выбрать другого риэлтора для оформления сделки. Новый специалист становится представителем покупателя или ответственным за оформление, а первый риэлтор остаётся источником рекомендации.</w:t>
      </w:r>
    </w:p>
    <w:p>
      <w:r>
        <w:t>Механика фиксации источника уже работает. Детальная модель распределения вознаграждения между участниками пока разрабатывается и может быть определена вместе с инвестором.</w:t>
      </w:r>
    </w:p>
    <w:p>
      <w:pPr>
        <w:pStyle w:val="Heading2"/>
      </w:pPr>
      <w:r>
        <w:t>4. Оформление и дополнительные выгоды</w:t>
      </w:r>
    </w:p>
    <w:p>
      <w:r>
        <w:t>Застройщик может устанавливать акции для отдельных объявлений. После оформления сделки покупатель получает фиксированный набор партнёрских сертификатов от «БАСТ». Акции застройщика и сертификаты платформы суммируются.</w:t>
      </w:r>
    </w:p>
    <w:p>
      <w:r>
        <w:br w:type="page"/>
      </w:r>
    </w:p>
    <w:p>
      <w:pPr>
        <w:pStyle w:val="Heading1"/>
      </w:pPr>
      <w:r>
        <w:t>Ценность платформы для участников</w:t>
      </w:r>
    </w:p>
    <w:p>
      <w:pPr>
        <w:pStyle w:val="Heading2"/>
      </w:pPr>
      <w:r>
        <w:t>Для покупателя</w:t>
      </w:r>
    </w:p>
    <w:p>
      <w:r>
        <w:t>Покупатель получает объекты разных продавцов и застройщиков в одном приложении, может обратиться к риэлтору и сохранить контекст взаимодействия внутри платформы.</w:t>
      </w:r>
    </w:p>
    <w:p>
      <w:pPr>
        <w:pStyle w:val="ListBullet"/>
      </w:pPr>
      <w:r>
        <w:t>акции, установленные застройщиком для выбранного объекта;</w:t>
      </w:r>
    </w:p>
    <w:p>
      <w:pPr>
        <w:pStyle w:val="ListBullet"/>
      </w:pPr>
      <w:r>
        <w:t>фиксированный набор партнёрских сертификатов от «БАСТ» после сделки;</w:t>
      </w:r>
    </w:p>
    <w:p>
      <w:pPr>
        <w:pStyle w:val="ListBullet"/>
      </w:pPr>
      <w:r>
        <w:t>возможность позднее самостоятельно опубликовать свою недвижимость;</w:t>
      </w:r>
    </w:p>
    <w:p>
      <w:pPr>
        <w:pStyle w:val="ListBullet"/>
      </w:pPr>
      <w:r>
        <w:t>доступ к сети риэлторов, которые смогут рекомендовать его объект своим покупателям.</w:t>
      </w:r>
    </w:p>
    <w:p>
      <w:pPr>
        <w:pStyle w:val="Heading2"/>
      </w:pPr>
      <w:r>
        <w:t>Для риэлтора</w:t>
      </w:r>
    </w:p>
    <w:p>
      <w:r>
        <w:t>Риэлтор получает общий пул объектов, а не только собственную базу объявлений.</w:t>
      </w:r>
    </w:p>
    <w:p>
      <w:pPr>
        <w:pStyle w:val="ListBullet"/>
      </w:pPr>
      <w:r>
        <w:t>подбирает объекты разных продавцов и застройщиков;</w:t>
      </w:r>
    </w:p>
    <w:p>
      <w:pPr>
        <w:pStyle w:val="ListBullet"/>
      </w:pPr>
      <w:r>
        <w:t>делится ими через персональные ссылки и QR-коды;</w:t>
      </w:r>
    </w:p>
    <w:p>
      <w:pPr>
        <w:pStyle w:val="ListBullet"/>
      </w:pPr>
      <w:r>
        <w:t>фиксирует источник рекомендации;</w:t>
      </w:r>
    </w:p>
    <w:p>
      <w:pPr>
        <w:pStyle w:val="ListBullet"/>
      </w:pPr>
      <w:r>
        <w:t>сопровождает покупателя при оформлении;</w:t>
      </w:r>
    </w:p>
    <w:p>
      <w:pPr>
        <w:pStyle w:val="ListBullet"/>
      </w:pPr>
      <w:r>
        <w:t>создаёт собственные объявления;</w:t>
      </w:r>
    </w:p>
    <w:p>
      <w:pPr>
        <w:pStyle w:val="ListBullet"/>
      </w:pPr>
      <w:r>
        <w:t>работает независимо или в составе команды компании.</w:t>
      </w:r>
    </w:p>
    <w:p>
      <w:pPr>
        <w:pStyle w:val="Heading2"/>
      </w:pPr>
      <w:r>
        <w:t>Для застройщика</w:t>
      </w:r>
    </w:p>
    <w:p>
      <w:r>
        <w:t>Для застройщика платформа работает как дополнительная промоплощадка и распределённая сеть продаж.</w:t>
      </w:r>
    </w:p>
    <w:p>
      <w:pPr>
        <w:pStyle w:val="ListBullet"/>
      </w:pPr>
      <w:r>
        <w:t>публикует собственные объекты;</w:t>
      </w:r>
    </w:p>
    <w:p>
      <w:pPr>
        <w:pStyle w:val="ListBullet"/>
      </w:pPr>
      <w:r>
        <w:t>назначает акции на отдельные объявления;</w:t>
      </w:r>
    </w:p>
    <w:p>
      <w:pPr>
        <w:pStyle w:val="ListBullet"/>
      </w:pPr>
      <w:r>
        <w:t>создаёт команду и добавляет сотрудников;</w:t>
      </w:r>
    </w:p>
    <w:p>
      <w:pPr>
        <w:pStyle w:val="ListBullet"/>
      </w:pPr>
      <w:r>
        <w:t>получает покупателей от независимых риэлторов и агентств;</w:t>
      </w:r>
    </w:p>
    <w:p>
      <w:pPr>
        <w:pStyle w:val="ListBullet"/>
      </w:pPr>
      <w:r>
        <w:t>контролирует обращения и работу ответственных сотрудников через веб-CRM.</w:t>
      </w:r>
    </w:p>
    <w:p>
      <w:pPr>
        <w:pStyle w:val="Heading2"/>
      </w:pPr>
      <w:r>
        <w:t>Для агентства недвижимости</w:t>
      </w:r>
    </w:p>
    <w:p>
      <w:r>
        <w:t>Агентство использует корпоративный аккаунт с командой по той же модели, что и застройщик, но может публиковать объекты компаний, которые представляет. Платформа объединяет команду агентства и каталоги разных застройщиков в одном рабочем контуре.</w:t>
      </w:r>
    </w:p>
    <w:p>
      <w:r>
        <w:br w:type="page"/>
      </w:r>
    </w:p>
    <w:p>
      <w:pPr>
        <w:pStyle w:val="Heading1"/>
      </w:pPr>
      <w:r>
        <w:t>Текущее состояние продукта</w:t>
      </w:r>
    </w:p>
    <w:p>
      <w:pPr>
        <w:pStyle w:val="ListBullet"/>
      </w:pPr>
      <w:r>
        <w:t>мобильное приложение опубликовано в App Store;</w:t>
      </w:r>
    </w:p>
    <w:p>
      <w:pPr>
        <w:pStyle w:val="ListBullet"/>
      </w:pPr>
      <w:r>
        <w:t>мобильное приложение опубликовано в Google Play;</w:t>
      </w:r>
    </w:p>
    <w:p>
      <w:pPr>
        <w:pStyle w:val="ListBullet"/>
      </w:pPr>
      <w:r>
        <w:t>веб-CRM доступна риэлторам, агентствам и застройщикам;</w:t>
      </w:r>
    </w:p>
    <w:p>
      <w:pPr>
        <w:pStyle w:val="ListBullet"/>
      </w:pPr>
      <w:r>
        <w:t>на платформе представлены объекты в Удмуртии;</w:t>
      </w:r>
    </w:p>
    <w:p>
      <w:pPr>
        <w:pStyle w:val="ListBullet"/>
      </w:pPr>
      <w:r>
        <w:t>реализована передача объявлений через персональные ссылки и QR-коды;</w:t>
      </w:r>
    </w:p>
    <w:p>
      <w:pPr>
        <w:pStyle w:val="ListBullet"/>
      </w:pPr>
      <w:r>
        <w:t>работает фиксация источника рекомендации;</w:t>
      </w:r>
    </w:p>
    <w:p>
      <w:pPr>
        <w:pStyle w:val="ListBullet"/>
      </w:pPr>
      <w:r>
        <w:t>пользователи разных типов могут создавать объявления;</w:t>
      </w:r>
    </w:p>
    <w:p>
      <w:pPr>
        <w:pStyle w:val="ListBullet"/>
      </w:pPr>
      <w:r>
        <w:t>компании могут создавать команды и добавлять сотрудников.</w:t>
      </w:r>
    </w:p>
    <w:p>
      <w:r>
        <w:rPr>
          <w:b/>
          <w:color w:val="C59B46"/>
        </w:rPr>
        <w:t xml:space="preserve">Граница текущей реализации. </w:t>
      </w:r>
      <w:r>
        <w:t>Объявления публикуются без предварительной проверки. В план развития входят модерация контента, проверка реальности объекта и базовая юридическая проверка.</w:t>
      </w:r>
    </w:p>
    <w:p>
      <w:pPr>
        <w:pStyle w:val="Heading1"/>
      </w:pPr>
      <w:r>
        <w:t>Почему платформа может быть интересна инвестору</w:t>
      </w:r>
    </w:p>
    <w:p>
      <w:r>
        <w:t>Инвестор получает долю не в концепции, а в собранном продуктовом контуре:</w:t>
      </w:r>
    </w:p>
    <w:p>
      <w:pPr>
        <w:pStyle w:val="ListBullet"/>
      </w:pPr>
      <w:r>
        <w:t>мобильное приложение в публичных магазинах;</w:t>
      </w:r>
    </w:p>
    <w:p>
      <w:pPr>
        <w:pStyle w:val="ListBullet"/>
      </w:pPr>
      <w:r>
        <w:t>веб-CRM для профессиональных участников рынка;</w:t>
      </w:r>
    </w:p>
    <w:p>
      <w:pPr>
        <w:pStyle w:val="ListBullet"/>
      </w:pPr>
      <w:r>
        <w:t>ролевая и корпоративная модель аккаунтов;</w:t>
      </w:r>
    </w:p>
    <w:p>
      <w:pPr>
        <w:pStyle w:val="ListBullet"/>
      </w:pPr>
      <w:r>
        <w:t>механика открытого распространения объявлений;</w:t>
      </w:r>
    </w:p>
    <w:p>
      <w:pPr>
        <w:pStyle w:val="ListBullet"/>
      </w:pPr>
      <w:r>
        <w:t>фиксация источника рекомендации;</w:t>
      </w:r>
    </w:p>
    <w:p>
      <w:pPr>
        <w:pStyle w:val="ListBullet"/>
      </w:pPr>
      <w:r>
        <w:t>система акций и партнёрских сертификатов;</w:t>
      </w:r>
    </w:p>
    <w:p>
      <w:pPr>
        <w:pStyle w:val="ListBullet"/>
      </w:pPr>
      <w:r>
        <w:t>технологическая основа для регионального масштабирования.</w:t>
      </w:r>
    </w:p>
    <w:p>
      <w:r>
        <w:t>Платформа может развиваться как самостоятельный PropTech-бизнес либо быть встроена в экосистему девелопера, агентской сети, классифайда, банка или финансовой группы.</w:t>
      </w:r>
    </w:p>
    <w:p>
      <w:r>
        <w:br w:type="page"/>
      </w:r>
    </w:p>
    <w:p>
      <w:pPr>
        <w:pStyle w:val="Heading1"/>
      </w:pPr>
      <w:r>
        <w:t>Планируемая монетизация</w:t>
      </w:r>
    </w:p>
    <w:p>
      <w:pPr>
        <w:pStyle w:val="ListBullet"/>
      </w:pPr>
      <w:r>
        <w:t>подписка на профессиональные функции и CRM;</w:t>
      </w:r>
    </w:p>
    <w:p>
      <w:pPr>
        <w:pStyle w:val="ListBullet"/>
      </w:pPr>
      <w:r>
        <w:t>комиссия с оформленных сделок;</w:t>
      </w:r>
    </w:p>
    <w:p>
      <w:pPr>
        <w:pStyle w:val="ListBullet"/>
      </w:pPr>
      <w:r>
        <w:t>партнёрские программы и сертификаты;</w:t>
      </w:r>
    </w:p>
    <w:p>
      <w:pPr>
        <w:pStyle w:val="ListBullet"/>
      </w:pPr>
      <w:r>
        <w:t>рекламное и приоритетное продвижение объектов;</w:t>
      </w:r>
    </w:p>
    <w:p>
      <w:pPr>
        <w:pStyle w:val="ListBullet"/>
      </w:pPr>
      <w:r>
        <w:t>дополнительные сервисы для компаний и профессиональных команд.</w:t>
      </w:r>
    </w:p>
    <w:p>
      <w:r>
        <w:t>Коммерческая модель и экономика взаимодействия с риэлторами требуют дальнейшей валидации.</w:t>
      </w:r>
    </w:p>
    <w:p>
      <w:pPr>
        <w:pStyle w:val="Heading1"/>
      </w:pPr>
      <w:r>
        <w:t>Приоритеты развития</w:t>
      </w:r>
    </w:p>
    <w:p>
      <w:pPr>
        <w:pStyle w:val="ListNumber"/>
      </w:pPr>
      <w:r>
        <w:t>Расширить географию и каталог объектов.</w:t>
      </w:r>
    </w:p>
    <w:p>
      <w:pPr>
        <w:pStyle w:val="ListNumber"/>
      </w:pPr>
      <w:r>
        <w:t>Подключить застройщиков, агентства и независимых риэлторов.</w:t>
      </w:r>
    </w:p>
    <w:p>
      <w:pPr>
        <w:pStyle w:val="ListNumber"/>
      </w:pPr>
      <w:r>
        <w:t>Внедрить модерацию и проверку объявлений.</w:t>
      </w:r>
    </w:p>
    <w:p>
      <w:pPr>
        <w:pStyle w:val="ListNumber"/>
      </w:pPr>
      <w:r>
        <w:t>Доработать модель вознаграждения участников сделки.</w:t>
      </w:r>
    </w:p>
    <w:p>
      <w:pPr>
        <w:pStyle w:val="ListNumber"/>
      </w:pPr>
      <w:r>
        <w:t>Проверить и запустить основные способы монетизации.</w:t>
      </w:r>
    </w:p>
    <w:p>
      <w:pPr>
        <w:pStyle w:val="ListNumber"/>
      </w:pPr>
      <w:r>
        <w:t>Развить аналитику, CRM и управление командами.</w:t>
      </w:r>
    </w:p>
    <w:p>
      <w:pPr>
        <w:pStyle w:val="ListNumber"/>
      </w:pPr>
      <w:r>
        <w:t>Расширить партнёрскую программу сертификатов.</w:t>
      </w:r>
    </w:p>
    <w:p>
      <w:pPr>
        <w:pStyle w:val="ListNumber"/>
      </w:pPr>
      <w:r>
        <w:t>Усилить юридическую, техническую и информационную инфраструктуру.</w:t>
      </w:r>
    </w:p>
    <w:p>
      <w:pPr>
        <w:pStyle w:val="Heading1"/>
      </w:pPr>
      <w:r>
        <w:t>Предлагаемая структура сделки</w:t>
      </w:r>
    </w:p>
    <w:p>
      <w:r>
        <w:t>Приоритетное предложение — приобретение инвестором доли в проекте или компании, владеющей платформой. Полный выкуп может быть рассмотрен отдельно, если такой формат соответствует интересам обеих сторон.</w:t>
      </w:r>
    </w:p>
    <w:p>
      <w:pPr>
        <w:pStyle w:val="ListBullet"/>
      </w:pPr>
      <w:r>
        <w:t>размер приобретаемой доли и оценка компании;</w:t>
      </w:r>
    </w:p>
    <w:p>
      <w:pPr>
        <w:pStyle w:val="ListBullet"/>
      </w:pPr>
      <w:r>
        <w:t>форма сделки и порядок оплаты;</w:t>
      </w:r>
    </w:p>
    <w:p>
      <w:pPr>
        <w:pStyle w:val="ListBullet"/>
      </w:pPr>
      <w:r>
        <w:t>распределение средств между собственником и компанией;</w:t>
      </w:r>
    </w:p>
    <w:p>
      <w:pPr>
        <w:pStyle w:val="ListBullet"/>
      </w:pPr>
      <w:r>
        <w:t>права инвестора на участие в управлении;</w:t>
      </w:r>
    </w:p>
    <w:p>
      <w:pPr>
        <w:pStyle w:val="ListBullet"/>
      </w:pPr>
      <w:r>
        <w:t>перечень решений, требующих согласования сторон;</w:t>
      </w:r>
    </w:p>
    <w:p>
      <w:pPr>
        <w:pStyle w:val="ListBullet"/>
      </w:pPr>
      <w:r>
        <w:t>порядок финансирования дальнейшего развития;</w:t>
      </w:r>
    </w:p>
    <w:p>
      <w:pPr>
        <w:pStyle w:val="ListBullet"/>
      </w:pPr>
      <w:r>
        <w:t>условия выхода сторон из проекта;</w:t>
      </w:r>
    </w:p>
    <w:p>
      <w:pPr>
        <w:pStyle w:val="ListBullet"/>
      </w:pPr>
      <w:r>
        <w:t>дальнейшая роль текущего собственника и команды.</w:t>
      </w:r>
    </w:p>
    <w:p>
      <w:r>
        <w:br w:type="page"/>
      </w:r>
    </w:p>
    <w:p>
      <w:pPr>
        <w:pStyle w:val="Heading1"/>
      </w:pPr>
      <w:r>
        <w:t>Материалы для проверки</w:t>
      </w:r>
    </w:p>
    <w:p>
      <w:r>
        <w:t>После подписания NDA инвестору могут быть предоставлены:</w:t>
      </w:r>
    </w:p>
    <w:p>
      <w:pPr>
        <w:pStyle w:val="ListBullet"/>
      </w:pPr>
      <w:r>
        <w:t>сведения о юридическом лице и структуре владения;</w:t>
      </w:r>
    </w:p>
    <w:p>
      <w:pPr>
        <w:pStyle w:val="ListBullet"/>
      </w:pPr>
      <w:r>
        <w:t>перечень активов, принадлежащих компании или входящих в сделку;</w:t>
      </w:r>
    </w:p>
    <w:p>
      <w:pPr>
        <w:pStyle w:val="ListBullet"/>
      </w:pPr>
      <w:r>
        <w:t>исходный код мобильного приложения и веб-CRM;</w:t>
      </w:r>
    </w:p>
    <w:p>
      <w:pPr>
        <w:pStyle w:val="ListBullet"/>
      </w:pPr>
      <w:r>
        <w:t>описание инфраструктуры и технической архитектуры;</w:t>
      </w:r>
    </w:p>
    <w:p>
      <w:pPr>
        <w:pStyle w:val="ListBullet"/>
      </w:pPr>
      <w:r>
        <w:t>документы, подтверждающие права на код, дизайн и контент;</w:t>
      </w:r>
    </w:p>
    <w:p>
      <w:pPr>
        <w:pStyle w:val="ListBullet"/>
      </w:pPr>
      <w:r>
        <w:t>данные о пользователях, объектах и активности;</w:t>
      </w:r>
    </w:p>
    <w:p>
      <w:pPr>
        <w:pStyle w:val="ListBullet"/>
      </w:pPr>
      <w:r>
        <w:t>финансовые показатели и расходы;</w:t>
      </w:r>
    </w:p>
    <w:p>
      <w:pPr>
        <w:pStyle w:val="ListBullet"/>
      </w:pPr>
      <w:r>
        <w:t>действующие договоры и партнёрства;</w:t>
      </w:r>
    </w:p>
    <w:p>
      <w:pPr>
        <w:pStyle w:val="ListBullet"/>
      </w:pPr>
      <w:r>
        <w:t>продуктовый план и оценка необходимых инвестиций;</w:t>
      </w:r>
    </w:p>
    <w:p>
      <w:pPr>
        <w:pStyle w:val="ListBullet"/>
      </w:pPr>
      <w:r>
        <w:t>демонстрационный доступ к платформе.</w:t>
      </w:r>
    </w:p>
    <w:p>
      <w:pPr>
        <w:pStyle w:val="Heading1"/>
      </w:pPr>
      <w:r>
        <w:t>Предлагаемый процесс</w:t>
      </w:r>
    </w:p>
    <w:p>
      <w:pPr>
        <w:pStyle w:val="ListNumber"/>
      </w:pPr>
      <w:r>
        <w:t>Вводная встреча и 30-минутная демонстрация продукта.</w:t>
      </w:r>
    </w:p>
    <w:p>
      <w:pPr>
        <w:pStyle w:val="ListNumber"/>
      </w:pPr>
      <w:r>
        <w:t>Обсуждение интересов инвестора и возможной роли в проекте.</w:t>
      </w:r>
    </w:p>
    <w:p>
      <w:pPr>
        <w:pStyle w:val="ListNumber"/>
      </w:pPr>
      <w:r>
        <w:t>Подписание NDA.</w:t>
      </w:r>
    </w:p>
    <w:p>
      <w:pPr>
        <w:pStyle w:val="ListNumber"/>
      </w:pPr>
      <w:r>
        <w:t>Предоставление материалов для предварительной оценки.</w:t>
      </w:r>
    </w:p>
    <w:p>
      <w:pPr>
        <w:pStyle w:val="ListNumber"/>
      </w:pPr>
      <w:r>
        <w:t>Согласование размера доли, оценки и структуры сделки.</w:t>
      </w:r>
    </w:p>
    <w:p>
      <w:pPr>
        <w:pStyle w:val="ListNumber"/>
      </w:pPr>
      <w:r>
        <w:t>Юридическая, финансовая и техническая проверка.</w:t>
      </w:r>
    </w:p>
    <w:p>
      <w:pPr>
        <w:pStyle w:val="ListNumber"/>
      </w:pPr>
      <w:r>
        <w:t>Подготовка корпоративных документов и закрытие сделки.</w:t>
      </w:r>
    </w:p>
    <w:p>
      <w:pPr>
        <w:pStyle w:val="Heading1"/>
      </w:pPr>
      <w:r>
        <w:t>Следующий шаг</w:t>
      </w:r>
    </w:p>
    <w:p>
      <w:r>
        <w:t>Предлагаем провести демонстрацию мобильного приложения и веб-CRM, после которой стороны определят подходящий формат участия и перечень материалов для дальнейшего рассмотрения.</w:t>
      </w:r>
    </w:p>
    <w:p>
      <w:r>
        <w:rPr>
          <w:b/>
        </w:rPr>
        <w:t xml:space="preserve">Контактное лицо: </w:t>
      </w:r>
      <w:r>
        <w:t>[имя и фамилия]</w:t>
      </w:r>
    </w:p>
    <w:p>
      <w:r>
        <w:rPr>
          <w:b/>
        </w:rPr>
        <w:t xml:space="preserve">Телефон: </w:t>
      </w:r>
      <w:r>
        <w:t>[номер]</w:t>
      </w:r>
    </w:p>
    <w:p>
      <w:r>
        <w:rPr>
          <w:b/>
        </w:rPr>
        <w:t xml:space="preserve">Электронная почта: </w:t>
      </w:r>
      <w:r>
        <w:t>[адрес]</w:t>
      </w:r>
    </w:p>
    <w:p>
      <w:r>
        <w:rPr>
          <w:b/>
        </w:rPr>
        <w:t xml:space="preserve">Сайт: </w:t>
      </w:r>
      <w:r>
        <w:t>[ссылка]</w:t>
      </w:r>
    </w:p>
    <w:p>
      <w:pPr>
        <w:spacing w:before="280"/>
      </w:pPr>
      <w:r>
        <w:rPr>
          <w:b/>
          <w:color w:val="C59B46"/>
        </w:rPr>
        <w:t xml:space="preserve">Важно: </w:t>
      </w:r>
      <w:r>
        <w:t>документ предназначен для предварительного обсуждения и не является публичной офертой. Оценка, размер доли и остальные условия подлежат отдельному согласованию.</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57586"/>
        <w:sz w:val="16"/>
      </w:rPr>
      <w:t>Материал для предварительного обсуждения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Calibri" w:hAnsi="Calibri"/>
        <w:b/>
        <w:color w:val="657586"/>
        <w:sz w:val="16"/>
      </w:rPr>
      <w:t>БАСТ НЕДВИЖИМОСТЬ  /  КОНФИДЕНЦИАЛЬНЫЙ ИНВЕСТИЦИОННЫЙ ТИЗЕР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2638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0243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0243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638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0243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65758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