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  <w:r>
        <w:rPr>
          <w:b/>
          <w:color w:val="C59B46"/>
          <w:sz w:val="22"/>
        </w:rPr>
        <w:t>БАСТ НЕДВИЖИМОСТЬ</w:t>
      </w:r>
    </w:p>
    <w:p>
      <w:pPr>
        <w:pStyle w:val="Title"/>
      </w:pPr>
      <w:r>
        <w:t>Предложение о приобретении цифровой платформы</w:t>
      </w:r>
    </w:p>
    <w:p>
      <w:pPr>
        <w:pStyle w:val="Subtitle"/>
      </w:pPr>
      <w:r>
        <w:t>Мобильное приложение и веб‑CRM для участников сделки с загородной недвижимостью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0243E"/>
          </w:tcPr>
          <w:p>
            <w:r>
              <w:rPr>
                <w:b/>
                <w:color w:val="FFFFFF"/>
              </w:rPr>
              <w:t>Формат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6F8"/>
          </w:tcPr>
          <w:p>
            <w:r>
              <w:t>Продажа платформы / стратегическая сделка</w:t>
            </w:r>
          </w:p>
        </w:tc>
      </w:tr>
      <w:tr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10243E"/>
          </w:tcPr>
          <w:p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468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4F6F8"/>
          </w:tcPr>
          <w:p>
            <w:r>
              <w:t>Предварительный тизер; детали после NDA</w:t>
            </w:r>
          </w:p>
        </w:tc>
      </w:tr>
    </w:tbl>
    <w:p>
      <w:pPr>
        <w:pStyle w:val="Heading1"/>
      </w:pPr>
      <w:r>
        <w:t>Ключевая идея</w:t>
      </w:r>
    </w:p>
    <w:p>
      <w:r>
        <w:rPr>
          <w:b/>
        </w:rPr>
        <w:t xml:space="preserve">Покупатель получает не концепцию, а собранный продуктовый контур: </w:t>
      </w:r>
      <w:r>
        <w:t>мобильное приложение в публичных магазинах, рабочую веб‑CRM, ролевые сценарии покупателя, риэлтора и застройщика, а также технологическую и контентную основу для дальнейшего масштабирования.</w:t>
      </w:r>
    </w:p>
    <w:p>
      <w:r>
        <w:br w:type="page"/>
      </w:r>
    </w:p>
    <w:p>
      <w:pPr>
        <w:pStyle w:val="Heading1"/>
      </w:pPr>
      <w:r>
        <w:t>Текст письма инвестору / стратегическому покупателю</w:t>
      </w:r>
    </w:p>
    <w:p>
      <w:r>
        <w:rPr>
          <w:b/>
        </w:rPr>
        <w:t xml:space="preserve">Тема: </w:t>
      </w:r>
      <w:r>
        <w:t>Возможность приобретения PropTech‑платформы «БАСТ Недвижимость»</w:t>
      </w:r>
    </w:p>
    <w:p>
      <w:pPr>
        <w:spacing w:after="200"/>
      </w:pPr>
      <w:r>
        <w:t>Здравствуйте, [Имя]!</w:t>
      </w:r>
    </w:p>
    <w:p>
      <w:pPr>
        <w:spacing w:after="200"/>
      </w:pPr>
      <w:r>
        <w:t>Предлагаю рассмотреть возможность приобретения платформы «БАСТ Недвижимость» — цифрового продукта для участников сделок с загородной недвижимостью.</w:t>
      </w:r>
    </w:p>
    <w:p>
      <w:pPr>
        <w:spacing w:after="200"/>
      </w:pPr>
      <w:r>
        <w:t>Платформа объединяет мобильное приложение для покупателей, риэлторов и застройщиков и веб‑CRM для профессиональных команд. В одном контуре находятся объекты, обращения, переписка, участники, документы и этапы сделки.</w:t>
      </w:r>
    </w:p>
    <w:p>
      <w:pPr>
        <w:spacing w:after="200"/>
      </w:pPr>
      <w:r>
        <w:t>На текущем этапе мобильное приложение опубликовано в App Store и Google Play, объекты представлены в Удмуртии, веб‑CRM доступна риэлторам, агентствам и застройщикам. Продукт может быть интересен стратегическому инвестору, девелоперу, классифайду, агентской сети или финансовой группе как готовая технологическая база для собственного PropTech‑направления.</w:t>
      </w:r>
    </w:p>
    <w:p>
      <w:pPr>
        <w:spacing w:after="200"/>
      </w:pPr>
      <w:r>
        <w:t>Мы открыты к обсуждению продажи платформы целиком либо иной структуры стратегической сделки. Во вложении — краткая презентация. После подтверждения интереса готовы провести демонстрацию продукта и предоставить материалы для первичной оценки после подписания NDA.</w:t>
      </w:r>
    </w:p>
    <w:p>
      <w:pPr>
        <w:spacing w:after="200"/>
      </w:pPr>
      <w:r>
        <w:t>Если направление вам интересно, предлагаю назначить 30‑минутный звонок на следующей неделе.</w:t>
      </w:r>
    </w:p>
    <w:p>
      <w:pPr>
        <w:spacing w:after="0"/>
      </w:pPr>
      <w:r>
        <w:t>С уважением,</w:t>
        <w:br/>
        <w:t>[Имя и фамилия]</w:t>
        <w:br/>
        <w:t>[Должность / собственник платформы]</w:t>
        <w:br/>
        <w:t>[Телефон] • [Электронная почта]</w:t>
      </w:r>
    </w:p>
    <w:p>
      <w:pPr>
        <w:pStyle w:val="Heading2"/>
      </w:pPr>
      <w:r>
        <w:t>Короткая версия для первого контакта</w:t>
      </w:r>
    </w:p>
    <w:p>
      <w:r>
        <w:rPr>
          <w:b/>
        </w:rPr>
        <w:t xml:space="preserve">Здравствуйте, [Имя]! </w:t>
      </w:r>
      <w:r>
        <w:t>Рассматриваем продажу PropTech‑платформы «БАСТ Недвижимость»: мобильное приложение уже опубликовано в App Store и Google Play, есть веб‑CRM и ролевые сценарии для покупателей, риэлторов и застройщиков. Ищем стратегического покупателя, которому нужна готовая технологическая база для сделок с загородной недвижимостью. Могу направить краткий тизер и показать продукт на 30‑минутной встрече?</w:t>
      </w:r>
    </w:p>
    <w:p>
      <w:r>
        <w:br w:type="page"/>
      </w:r>
    </w:p>
    <w:p>
      <w:pPr>
        <w:pStyle w:val="Heading1"/>
      </w:pPr>
      <w:r>
        <w:t>Что представляет собой платформа</w:t>
      </w:r>
    </w:p>
    <w:p>
      <w:r>
        <w:t>«БАСТ Недвижимость» — единая платформа, в которой мобильное приложение и веб‑CRM работают с общими сущностями: объектами, объявлениями, клиентами, обращениями, участниками и сделками.</w:t>
      </w:r>
    </w:p>
    <w:p>
      <w:pPr>
        <w:pStyle w:val="ListBullet"/>
      </w:pPr>
      <w:r>
        <w:rPr>
          <w:b/>
        </w:rPr>
        <w:t>Покупатель:</w:t>
      </w:r>
      <w:r>
        <w:t xml:space="preserve"> находит дом, связывается с ответственным участником и видит, что происходит с оформлением. Результат — поиск, общение и этапы сделки остаются в одном приложении, без потери контекста между площадками.</w:t>
      </w:r>
    </w:p>
    <w:p>
      <w:pPr>
        <w:pStyle w:val="ListBullet"/>
      </w:pPr>
      <w:r>
        <w:rPr>
          <w:b/>
        </w:rPr>
        <w:t>Риэлтор и агентство:</w:t>
      </w:r>
      <w:r>
        <w:t xml:space="preserve"> ведут клиента от рекомендации объекта до подписания документов; сохраняют авторство контакта через ссылку, инвайт‑код или QR‑код. Результат — меньше ручного переноса данных, понятное следующее действие и прозрачный контроль активных сделок.</w:t>
      </w:r>
    </w:p>
    <w:p>
      <w:pPr>
        <w:pStyle w:val="ListBullet"/>
      </w:pPr>
      <w:r>
        <w:rPr>
          <w:b/>
        </w:rPr>
        <w:t>Застройщик:</w:t>
      </w:r>
      <w:r>
        <w:t xml:space="preserve"> публикует объекты, принимает обращения, назначает ответственных и отслеживает интерес и сделки по каждому объекту. Результат — обращения не теряются, покупатель сразу попадает к ответственному, а руководитель видит работу команды.</w:t>
      </w:r>
    </w:p>
    <w:p>
      <w:pPr>
        <w:pStyle w:val="ListBullet"/>
      </w:pPr>
      <w:r>
        <w:rPr>
          <w:b/>
        </w:rPr>
        <w:t>Связующий механизм:</w:t>
      </w:r>
      <w:r>
        <w:t xml:space="preserve"> ссылка, инвайт‑код или QR‑код закрепляют клиента и контекст взаимодействия за участником сделки.</w:t>
      </w:r>
    </w:p>
    <w:p>
      <w:pPr>
        <w:pStyle w:val="Heading2"/>
      </w:pPr>
      <w:r>
        <w:t>Подтверждённое текущее состояние</w:t>
      </w:r>
    </w:p>
    <w:p>
      <w:pPr>
        <w:pStyle w:val="ListBullet"/>
      </w:pPr>
      <w:r>
        <w:t>Мобильное приложение опубликовано в App Store.</w:t>
      </w:r>
    </w:p>
    <w:p>
      <w:pPr>
        <w:pStyle w:val="ListBullet"/>
      </w:pPr>
      <w:r>
        <w:t>Мобильное приложение опубликовано в Google Play.</w:t>
      </w:r>
    </w:p>
    <w:p>
      <w:pPr>
        <w:pStyle w:val="ListBullet"/>
      </w:pPr>
      <w:r>
        <w:t>Объекты представлены в Удмуртии.</w:t>
      </w:r>
    </w:p>
    <w:p>
      <w:pPr>
        <w:pStyle w:val="ListBullet"/>
      </w:pPr>
      <w:r>
        <w:t>Веб‑CRM доступна риэлторам, агентствам и застройщикам.</w:t>
      </w:r>
    </w:p>
    <w:p>
      <w:pPr>
        <w:pStyle w:val="Heading2"/>
      </w:pPr>
      <w:r>
        <w:t>Почему актив может быть интересен покупателю</w:t>
      </w:r>
    </w:p>
    <w:p>
      <w:pPr>
        <w:pStyle w:val="ListBullet"/>
      </w:pPr>
      <w:r>
        <w:t>Сокращение времени до запуска собственного продукта за счёт готовой кодовой и продуктовой базы.</w:t>
      </w:r>
    </w:p>
    <w:p>
      <w:pPr>
        <w:pStyle w:val="ListBullet"/>
      </w:pPr>
      <w:r>
        <w:t>Доступ сразу к B2C‑ и B2B‑сценариям в одном продукте.</w:t>
      </w:r>
    </w:p>
    <w:p>
      <w:pPr>
        <w:pStyle w:val="ListBullet"/>
      </w:pPr>
      <w:r>
        <w:t>Возможность встроить платформу в существующую сеть продаж, каталог, девелоперскую группу или финансовый сервис.</w:t>
      </w:r>
    </w:p>
    <w:p>
      <w:pPr>
        <w:pStyle w:val="ListBullet"/>
      </w:pPr>
      <w:r>
        <w:t>Основа для регионального масштабирования и развития моделей подписки, комиссии и партнёрских программ — после коммерческой валидации.</w:t>
      </w:r>
    </w:p>
    <w:p>
      <w:r>
        <w:br w:type="page"/>
      </w:r>
    </w:p>
    <w:p>
      <w:pPr>
        <w:pStyle w:val="Heading1"/>
      </w:pPr>
      <w:r>
        <w:t>Предмет сделки и следующий шаг</w:t>
      </w:r>
    </w:p>
    <w:p>
      <w:r>
        <w:t>Окончательный периметр сделки определяется после NDA и инвентаризации активов. Для первичного обсуждения можно исходить из следующего состава: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120" w:type="dxa"/>
              <w:start w:w="140" w:type="dxa"/>
              <w:bottom w:w="120" w:type="dxa"/>
              <w:end w:w="140" w:type="dxa"/>
            </w:tcMar>
            <w:shd w:fill="10243E"/>
          </w:tcPr>
          <w:p>
            <w:r>
              <w:rPr>
                <w:b/>
                <w:color w:val="FFFFFF"/>
              </w:rPr>
              <w:t>Блок</w:t>
            </w:r>
          </w:p>
        </w:tc>
        <w:tc>
          <w:tcPr>
            <w:tcW w:type="dxa" w:w="6660"/>
            <w:tcMar>
              <w:top w:w="120" w:type="dxa"/>
              <w:start w:w="140" w:type="dxa"/>
              <w:bottom w:w="120" w:type="dxa"/>
              <w:end w:w="140" w:type="dxa"/>
            </w:tcMar>
            <w:shd w:fill="10243E"/>
          </w:tcPr>
          <w:p>
            <w:r>
              <w:rPr>
                <w:b/>
                <w:color w:val="FFFFFF"/>
              </w:rPr>
              <w:t>Что подлежит подтверждению в data room</w:t>
            </w:r>
          </w:p>
        </w:tc>
      </w:tr>
      <w:tr>
        <w:tc>
          <w:tcPr>
            <w:tcW w:type="dxa" w:w="2700"/>
            <w:shd w:fill="F4F6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Технология</w:t>
            </w:r>
          </w:p>
        </w:tc>
        <w:tc>
          <w:tcPr>
            <w:tcW w:type="dxa" w:w="6660"/>
            <w:shd w:fill="F4F6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Исходный код, мобильные клиенты, веб‑CRM, инфраструктура, документация, домены и учётные записи.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Продукт</w:t>
            </w:r>
          </w:p>
        </w:tc>
        <w:tc>
          <w:tcPr>
            <w:tcW w:type="dxa" w:w="6660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UX‑сценарии, дизайн‑система, контент, аналитика, продуктовый backlog и материалы исследований.</w:t>
            </w:r>
          </w:p>
        </w:tc>
      </w:tr>
      <w:tr>
        <w:tc>
          <w:tcPr>
            <w:tcW w:type="dxa" w:w="2700"/>
            <w:shd w:fill="F4F6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Права</w:t>
            </w:r>
          </w:p>
        </w:tc>
        <w:tc>
          <w:tcPr>
            <w:tcW w:type="dxa" w:w="6660"/>
            <w:shd w:fill="F4F6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Цепочка прав на код и дизайн, лицензии, товарные знаки, договоры с подрядчиками.</w:t>
            </w:r>
          </w:p>
        </w:tc>
      </w:tr>
      <w:tr>
        <w:tc>
          <w:tcPr>
            <w:tcW w:type="dxa" w:w="2700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Коммерция</w:t>
            </w:r>
          </w:p>
        </w:tc>
        <w:tc>
          <w:tcPr>
            <w:tcW w:type="dxa" w:w="6660"/>
            <w:shd w:fill="FFFFFF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Подтверждённые пользователи, клиенты, договоры, выручка, расходы и unit‑экономика — при наличии.</w:t>
            </w:r>
          </w:p>
        </w:tc>
      </w:tr>
      <w:tr>
        <w:tc>
          <w:tcPr>
            <w:tcW w:type="dxa" w:w="2700"/>
            <w:shd w:fill="F4F6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Передача</w:t>
            </w:r>
          </w:p>
        </w:tc>
        <w:tc>
          <w:tcPr>
            <w:tcW w:type="dxa" w:w="6660"/>
            <w:shd w:fill="F4F6F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>Переходный период, обучение команды покупателя, перенос инфраструктуры и поддержка после закрытия.</w:t>
            </w:r>
          </w:p>
        </w:tc>
      </w:tr>
    </w:tbl>
    <w:p>
      <w:pPr>
        <w:pStyle w:val="Heading2"/>
      </w:pPr>
      <w:r>
        <w:t>Предлагаемый процесс</w:t>
      </w:r>
    </w:p>
    <w:p>
      <w:pPr>
        <w:pStyle w:val="ListNumber"/>
      </w:pPr>
      <w:r>
        <w:t>Вводная встреча и демонстрация продукта.</w:t>
      </w:r>
    </w:p>
    <w:p>
      <w:pPr>
        <w:pStyle w:val="ListNumber"/>
      </w:pPr>
      <w:r>
        <w:t>Подписание NDA и предоставление краткого data room.</w:t>
      </w:r>
    </w:p>
    <w:p>
      <w:pPr>
        <w:pStyle w:val="ListNumber"/>
      </w:pPr>
      <w:r>
        <w:t>Индикативное предложение покупателя: структура сделки, цена, сроки и условия.</w:t>
      </w:r>
    </w:p>
    <w:p>
      <w:pPr>
        <w:pStyle w:val="ListNumber"/>
      </w:pPr>
      <w:r>
        <w:t>Технологический, юридический и коммерческий due diligence.</w:t>
      </w:r>
    </w:p>
    <w:p>
      <w:pPr>
        <w:pStyle w:val="ListNumber"/>
      </w:pPr>
      <w:r>
        <w:t>Согласование договора и передача активов.</w:t>
      </w:r>
    </w:p>
    <w:p>
      <w:pPr>
        <w:pStyle w:val="Heading2"/>
      </w:pPr>
      <w:r>
        <w:t>Поля, которые нужно заполнить до рассылки</w:t>
      </w:r>
    </w:p>
    <w:p>
      <w:pPr>
        <w:pStyle w:val="ListBullet"/>
      </w:pPr>
      <w:r>
        <w:t>Имя отправителя, должность, телефон и электронная почта.</w:t>
      </w:r>
    </w:p>
    <w:p>
      <w:pPr>
        <w:pStyle w:val="ListBullet"/>
      </w:pPr>
      <w:r>
        <w:t>Желаемая цена или диапазон оценки — либо формулировка «цена по запросу».</w:t>
      </w:r>
    </w:p>
    <w:p>
      <w:pPr>
        <w:pStyle w:val="ListBullet"/>
      </w:pPr>
      <w:r>
        <w:t>Юридическое лицо и точный перечень продаваемых прав и активов.</w:t>
      </w:r>
    </w:p>
    <w:p>
      <w:pPr>
        <w:pStyle w:val="ListBullet"/>
      </w:pPr>
      <w:r>
        <w:t>Подтверждённые продуктовые и коммерческие показатели с датой и методикой.</w:t>
      </w:r>
    </w:p>
    <w:p>
      <w:pPr>
        <w:pStyle w:val="ListBullet"/>
      </w:pPr>
      <w:r>
        <w:t>Ссылка на демонстрацию и состав data room.</w:t>
      </w:r>
    </w:p>
    <w:p>
      <w:pPr>
        <w:spacing w:before="280"/>
      </w:pPr>
      <w:r>
        <w:rPr>
          <w:b/>
          <w:color w:val="C59B46"/>
        </w:rPr>
        <w:t xml:space="preserve">Важно: </w:t>
      </w:r>
      <w:r>
        <w:t>документ не является офертой. Все цифры и условия сделки должны быть подтверждены собственником платформы до внешней рассылки.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57586"/>
      </w:rPr>
      <w:t>Материал для предварительного обсуждения •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Calibri" w:hAnsi="Calibri"/>
        <w:b/>
        <w:color w:val="657586"/>
        <w:sz w:val="16"/>
      </w:rPr>
      <w:t>БАСТ НЕДВИЖИМОСТЬ  /  КОНФИДЕНЦИАЛЬНЫЙ ТИЗЕР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0" w:lineRule="auto"/>
    </w:pPr>
    <w:rPr>
      <w:rFonts w:ascii="Calibri" w:hAnsi="Calibri"/>
      <w:color w:val="2638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0243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024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638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0243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b w:val="0"/>
      <w:i/>
      <w:iCs/>
      <w:color w:val="65758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90" w:lineRule="auto"/>
      <w:ind w:left="540" w:hanging="27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