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E84D" w14:textId="77777777" w:rsidR="006D588D" w:rsidRDefault="006D588D" w:rsidP="00971378">
      <w:pPr>
        <w:rPr>
          <w:rFonts w:ascii="Myriad Pro" w:eastAsia="Times New Roman" w:hAnsi="Myriad Pro"/>
          <w:b/>
          <w:bCs/>
          <w:sz w:val="32"/>
          <w:szCs w:val="28"/>
          <w:lang w:val="x-none" w:eastAsia="x-none"/>
        </w:rPr>
      </w:pPr>
      <w:r w:rsidRPr="006D588D">
        <w:rPr>
          <w:rFonts w:ascii="Myriad Pro" w:eastAsia="Times New Roman" w:hAnsi="Myriad Pro"/>
          <w:b/>
          <w:bCs/>
          <w:sz w:val="32"/>
          <w:szCs w:val="28"/>
          <w:lang w:val="x-none" w:eastAsia="x-none"/>
        </w:rPr>
        <w:t>Návrh připojení</w:t>
      </w:r>
    </w:p>
    <w:p w14:paraId="0D63A940" w14:textId="720DC822" w:rsidR="00971378" w:rsidRDefault="00971378" w:rsidP="00971378">
      <w:pPr>
        <w:rPr>
          <w:lang w:eastAsia="x-none"/>
        </w:rPr>
      </w:pPr>
      <w:r>
        <w:rPr>
          <w:lang w:eastAsia="x-none"/>
        </w:rPr>
        <w:t>Datum zpracování</w:t>
      </w:r>
      <w:r w:rsidR="007D23F8">
        <w:rPr>
          <w:lang w:eastAsia="x-none"/>
        </w:rPr>
        <w:t>: 09.05.2022</w:t>
      </w:r>
    </w:p>
    <w:p w14:paraId="4360C3CE" w14:textId="4B3EE01B" w:rsidR="00971378" w:rsidRPr="006440C1" w:rsidRDefault="00971378" w:rsidP="00971378">
      <w:r>
        <w:rPr>
          <w:lang w:eastAsia="x-none"/>
        </w:rPr>
        <w:t>Zpracovali:</w:t>
      </w:r>
      <w:r w:rsidR="006D588D">
        <w:rPr>
          <w:lang w:eastAsia="x-none"/>
        </w:rPr>
        <w:t xml:space="preserve"> Kevin D</w:t>
      </w:r>
      <w:r w:rsidR="006440C1">
        <w:t>aněk</w:t>
      </w:r>
    </w:p>
    <w:p w14:paraId="7244A194" w14:textId="77777777" w:rsidR="00971378" w:rsidRDefault="00971378" w:rsidP="00971378">
      <w:pPr>
        <w:rPr>
          <w:lang w:eastAsia="x-none"/>
        </w:rPr>
      </w:pPr>
    </w:p>
    <w:p w14:paraId="4DF7B29C" w14:textId="77777777" w:rsidR="00971378" w:rsidRDefault="00971378" w:rsidP="00971378">
      <w:pPr>
        <w:rPr>
          <w:lang w:eastAsia="x-none"/>
        </w:rPr>
      </w:pPr>
    </w:p>
    <w:p w14:paraId="328BF0A7" w14:textId="77777777" w:rsidR="00971378" w:rsidRDefault="00971378" w:rsidP="00971378">
      <w:pPr>
        <w:pStyle w:val="Nadpis2"/>
      </w:pPr>
      <w:r>
        <w:br w:type="page"/>
      </w:r>
      <w:r>
        <w:lastRenderedPageBreak/>
        <w:t>Zadání</w:t>
      </w:r>
    </w:p>
    <w:p w14:paraId="3721E36F" w14:textId="77777777" w:rsidR="006440C1" w:rsidRPr="006440C1" w:rsidRDefault="006440C1" w:rsidP="006440C1">
      <w:pPr>
        <w:numPr>
          <w:ilvl w:val="0"/>
          <w:numId w:val="2"/>
        </w:numPr>
        <w:shd w:val="clear" w:color="auto" w:fill="FFFFFF"/>
        <w:spacing w:before="100" w:beforeAutospacing="1" w:after="100" w:afterAutospacing="1" w:line="375" w:lineRule="atLeast"/>
        <w:rPr>
          <w:rFonts w:ascii="Open Sans" w:eastAsia="Times New Roman" w:hAnsi="Open Sans" w:cs="Open Sans"/>
          <w:color w:val="333333"/>
          <w:sz w:val="23"/>
          <w:szCs w:val="23"/>
          <w:lang w:eastAsia="cs-CZ"/>
        </w:rPr>
      </w:pPr>
      <w:r w:rsidRPr="006440C1">
        <w:rPr>
          <w:rFonts w:ascii="Open Sans" w:eastAsia="Times New Roman" w:hAnsi="Open Sans" w:cs="Open Sans"/>
          <w:color w:val="333333"/>
          <w:sz w:val="23"/>
          <w:szCs w:val="23"/>
          <w:lang w:eastAsia="cs-CZ"/>
        </w:rPr>
        <w:t>Navrhněte možnost připojení zahradního domku k domu.</w:t>
      </w:r>
    </w:p>
    <w:p w14:paraId="2A1EF1AB" w14:textId="77777777" w:rsidR="006440C1" w:rsidRPr="006440C1" w:rsidRDefault="006440C1" w:rsidP="006440C1">
      <w:pPr>
        <w:numPr>
          <w:ilvl w:val="0"/>
          <w:numId w:val="2"/>
        </w:numPr>
        <w:shd w:val="clear" w:color="auto" w:fill="FFFFFF"/>
        <w:spacing w:before="100" w:beforeAutospacing="1" w:after="100" w:afterAutospacing="1" w:line="375" w:lineRule="atLeast"/>
        <w:rPr>
          <w:rFonts w:ascii="Open Sans" w:eastAsia="Times New Roman" w:hAnsi="Open Sans" w:cs="Open Sans"/>
          <w:color w:val="333333"/>
          <w:sz w:val="23"/>
          <w:szCs w:val="23"/>
          <w:lang w:eastAsia="cs-CZ"/>
        </w:rPr>
      </w:pPr>
      <w:r w:rsidRPr="006440C1">
        <w:rPr>
          <w:rFonts w:ascii="Open Sans" w:eastAsia="Times New Roman" w:hAnsi="Open Sans" w:cs="Open Sans"/>
          <w:color w:val="333333"/>
          <w:sz w:val="23"/>
          <w:szCs w:val="23"/>
          <w:lang w:eastAsia="cs-CZ"/>
        </w:rPr>
        <w:t>Zahradní domek je 250 m vzdálený od domu, elektrický přípoj vede z domu.</w:t>
      </w:r>
    </w:p>
    <w:p w14:paraId="0029E685" w14:textId="77777777" w:rsidR="006440C1" w:rsidRPr="006440C1" w:rsidRDefault="006440C1" w:rsidP="006440C1">
      <w:pPr>
        <w:numPr>
          <w:ilvl w:val="0"/>
          <w:numId w:val="2"/>
        </w:numPr>
        <w:shd w:val="clear" w:color="auto" w:fill="FFFFFF"/>
        <w:spacing w:before="100" w:beforeAutospacing="1" w:after="100" w:afterAutospacing="1" w:line="375" w:lineRule="atLeast"/>
        <w:rPr>
          <w:rFonts w:ascii="Open Sans" w:eastAsia="Times New Roman" w:hAnsi="Open Sans" w:cs="Open Sans"/>
          <w:color w:val="333333"/>
          <w:sz w:val="23"/>
          <w:szCs w:val="23"/>
          <w:lang w:eastAsia="cs-CZ"/>
        </w:rPr>
      </w:pPr>
      <w:r w:rsidRPr="006440C1">
        <w:rPr>
          <w:rFonts w:ascii="Open Sans" w:eastAsia="Times New Roman" w:hAnsi="Open Sans" w:cs="Open Sans"/>
          <w:color w:val="333333"/>
          <w:sz w:val="23"/>
          <w:szCs w:val="23"/>
          <w:lang w:eastAsia="cs-CZ"/>
        </w:rPr>
        <w:t>V hlavním domě je připojení k Internetu s rychlostí 240 Mb/s.</w:t>
      </w:r>
    </w:p>
    <w:p w14:paraId="627D3509" w14:textId="77777777" w:rsidR="006440C1" w:rsidRPr="006440C1" w:rsidRDefault="006440C1" w:rsidP="006440C1">
      <w:pPr>
        <w:numPr>
          <w:ilvl w:val="0"/>
          <w:numId w:val="2"/>
        </w:numPr>
        <w:shd w:val="clear" w:color="auto" w:fill="FFFFFF"/>
        <w:spacing w:before="100" w:beforeAutospacing="1" w:after="100" w:afterAutospacing="1" w:line="375" w:lineRule="atLeast"/>
        <w:rPr>
          <w:rFonts w:ascii="Open Sans" w:eastAsia="Times New Roman" w:hAnsi="Open Sans" w:cs="Open Sans"/>
          <w:color w:val="333333"/>
          <w:sz w:val="23"/>
          <w:szCs w:val="23"/>
          <w:lang w:eastAsia="cs-CZ"/>
        </w:rPr>
      </w:pPr>
      <w:r w:rsidRPr="006440C1">
        <w:rPr>
          <w:rFonts w:ascii="Open Sans" w:eastAsia="Times New Roman" w:hAnsi="Open Sans" w:cs="Open Sans"/>
          <w:color w:val="333333"/>
          <w:sz w:val="23"/>
          <w:szCs w:val="23"/>
          <w:lang w:eastAsia="cs-CZ"/>
        </w:rPr>
        <w:t>Mezi objekty není přímá viditelnost.</w:t>
      </w:r>
    </w:p>
    <w:p w14:paraId="7868875D" w14:textId="77777777" w:rsidR="006440C1" w:rsidRPr="006440C1" w:rsidRDefault="006440C1" w:rsidP="006440C1">
      <w:pPr>
        <w:shd w:val="clear" w:color="auto" w:fill="FFFFFF"/>
        <w:spacing w:after="100" w:afterAutospacing="1" w:line="240" w:lineRule="auto"/>
        <w:rPr>
          <w:rFonts w:ascii="Open Sans" w:eastAsia="Times New Roman" w:hAnsi="Open Sans" w:cs="Open Sans"/>
          <w:color w:val="333333"/>
          <w:sz w:val="23"/>
          <w:szCs w:val="23"/>
          <w:lang w:eastAsia="cs-CZ"/>
        </w:rPr>
      </w:pPr>
      <w:r w:rsidRPr="006440C1">
        <w:rPr>
          <w:rFonts w:ascii="Open Sans" w:eastAsia="Times New Roman" w:hAnsi="Open Sans" w:cs="Open Sans"/>
          <w:color w:val="333333"/>
          <w:sz w:val="23"/>
          <w:szCs w:val="23"/>
          <w:lang w:eastAsia="cs-CZ"/>
        </w:rPr>
        <w:t>Navrhněte možnosti rozšíření domácí sítě do zahradního domku, proveďte cenovou kalkulaci všem potřebných komponent podle běžné nabídky na trhu. Porovnejte alespoň 2 možnosti, zohledněte jak cenu, tak náročnost instalace a případnou rychlost / dostupnost řešení.</w:t>
      </w:r>
    </w:p>
    <w:p w14:paraId="22ABB105" w14:textId="77777777" w:rsidR="00971378" w:rsidRDefault="00971378" w:rsidP="00971378">
      <w:pPr>
        <w:pStyle w:val="Nadpis2"/>
      </w:pPr>
      <w:r>
        <w:br w:type="page"/>
      </w:r>
      <w:r>
        <w:lastRenderedPageBreak/>
        <w:t>Postup</w:t>
      </w:r>
    </w:p>
    <w:p w14:paraId="30379547" w14:textId="147A1603" w:rsidR="003132BD" w:rsidRDefault="003132BD" w:rsidP="003132BD">
      <w:pPr>
        <w:pStyle w:val="Nadpis3"/>
      </w:pPr>
      <w:r>
        <w:t>Prvotní úvaha</w:t>
      </w:r>
    </w:p>
    <w:p w14:paraId="280BB5B7" w14:textId="3CE2AD3B" w:rsidR="003132BD" w:rsidRDefault="00E21075" w:rsidP="003132BD">
      <w:pPr>
        <w:spacing w:line="240" w:lineRule="auto"/>
      </w:pPr>
      <w:r>
        <w:t>Uvažujme</w:t>
      </w:r>
      <w:r w:rsidR="003132BD">
        <w:t xml:space="preserve"> dvě sítě</w:t>
      </w:r>
      <w:r>
        <w:t xml:space="preserve"> separátní sítě</w:t>
      </w:r>
      <w:r w:rsidR="003132BD">
        <w:t xml:space="preserve">: </w:t>
      </w:r>
    </w:p>
    <w:p w14:paraId="46CD0CE3" w14:textId="77777777" w:rsidR="003132BD" w:rsidRDefault="003132BD" w:rsidP="003132BD">
      <w:pPr>
        <w:numPr>
          <w:ilvl w:val="0"/>
          <w:numId w:val="4"/>
        </w:numPr>
        <w:spacing w:line="240" w:lineRule="auto"/>
      </w:pPr>
      <w:r>
        <w:t xml:space="preserve">Jednu v původním domku, kterou budeme nazývat </w:t>
      </w:r>
      <w:r w:rsidRPr="003132BD">
        <w:rPr>
          <w:b/>
          <w:bCs/>
        </w:rPr>
        <w:t>síť</w:t>
      </w:r>
      <w:r>
        <w:t xml:space="preserve"> </w:t>
      </w:r>
      <w:r w:rsidRPr="003132BD">
        <w:rPr>
          <w:b/>
          <w:bCs/>
        </w:rPr>
        <w:t>A</w:t>
      </w:r>
      <w:r>
        <w:t>,</w:t>
      </w:r>
    </w:p>
    <w:p w14:paraId="2AAB32A7" w14:textId="580184A4" w:rsidR="003132BD" w:rsidRPr="003132BD" w:rsidRDefault="003132BD" w:rsidP="003132BD">
      <w:pPr>
        <w:numPr>
          <w:ilvl w:val="0"/>
          <w:numId w:val="4"/>
        </w:numPr>
        <w:spacing w:line="240" w:lineRule="auto"/>
      </w:pPr>
      <w:r>
        <w:t xml:space="preserve">a druhou, která je v zahradním domku, kterou nazveme </w:t>
      </w:r>
      <w:r w:rsidRPr="003132BD">
        <w:rPr>
          <w:b/>
          <w:bCs/>
        </w:rPr>
        <w:t>síť</w:t>
      </w:r>
      <w:r>
        <w:t xml:space="preserve"> </w:t>
      </w:r>
      <w:r>
        <w:rPr>
          <w:b/>
          <w:bCs/>
        </w:rPr>
        <w:t>B.</w:t>
      </w:r>
    </w:p>
    <w:p w14:paraId="4D4A74AC" w14:textId="4F55C7DC" w:rsidR="003132BD" w:rsidRDefault="003132BD" w:rsidP="003132BD">
      <w:pPr>
        <w:spacing w:line="240" w:lineRule="auto"/>
      </w:pPr>
      <w:r>
        <w:t xml:space="preserve">Víme, že vzdálenost mezi těmito objekty je 250 metrů, a že mezi nimi není přímá viditelnost. </w:t>
      </w:r>
      <w:r w:rsidR="005A3359">
        <w:t>Bez jakéhokoliv kontextu se na delší vzdálenosti nabízí</w:t>
      </w:r>
    </w:p>
    <w:p w14:paraId="10D8374E" w14:textId="045F3C8E" w:rsidR="00E21075" w:rsidRDefault="0014079A" w:rsidP="0014079A">
      <w:pPr>
        <w:numPr>
          <w:ilvl w:val="0"/>
          <w:numId w:val="4"/>
        </w:numPr>
        <w:spacing w:line="240" w:lineRule="auto"/>
      </w:pPr>
      <w:r>
        <w:t>p</w:t>
      </w:r>
      <w:r w:rsidR="005A3359">
        <w:t>oužití kabeláže</w:t>
      </w:r>
    </w:p>
    <w:p w14:paraId="7E8080CE" w14:textId="1EB4E064" w:rsidR="005A3359" w:rsidRDefault="0014079A" w:rsidP="005A3359">
      <w:pPr>
        <w:numPr>
          <w:ilvl w:val="0"/>
          <w:numId w:val="4"/>
        </w:numPr>
        <w:spacing w:line="240" w:lineRule="auto"/>
      </w:pPr>
      <w:r>
        <w:t>nebo v</w:t>
      </w:r>
      <w:r w:rsidR="00E21075">
        <w:t>ytvoření síťového mostu mezi sítěmi pomocí směrových antén</w:t>
      </w:r>
    </w:p>
    <w:p w14:paraId="1C112503" w14:textId="6DF35252" w:rsidR="00A50AB9" w:rsidRDefault="00A50AB9" w:rsidP="00A50AB9">
      <w:pPr>
        <w:pStyle w:val="Nadpis3"/>
      </w:pPr>
      <w:r>
        <w:t>Kabeláž</w:t>
      </w:r>
    </w:p>
    <w:p w14:paraId="6EE1F8B7" w14:textId="397EDC84" w:rsidR="001A065F" w:rsidRDefault="001A065F" w:rsidP="001A065F">
      <w:r>
        <w:t>Pro tento případ uvažujme pouze dvě možnosti připojení kabelem, a tj.:</w:t>
      </w:r>
    </w:p>
    <w:p w14:paraId="52DE7451" w14:textId="568C540A" w:rsidR="001A065F" w:rsidRDefault="008B4E90" w:rsidP="001A065F">
      <w:pPr>
        <w:numPr>
          <w:ilvl w:val="0"/>
          <w:numId w:val="4"/>
        </w:numPr>
      </w:pPr>
      <w:r>
        <w:t xml:space="preserve">připojení pomocí standardních CAT </w:t>
      </w:r>
      <w:r w:rsidR="00CC5B83">
        <w:t>5</w:t>
      </w:r>
      <w:r w:rsidR="00053F82">
        <w:t>e</w:t>
      </w:r>
      <w:r w:rsidR="00221DCD">
        <w:t xml:space="preserve"> nebo </w:t>
      </w:r>
      <w:r w:rsidR="006337AE">
        <w:t>6a</w:t>
      </w:r>
      <w:r>
        <w:t xml:space="preserve"> kabelů</w:t>
      </w:r>
    </w:p>
    <w:p w14:paraId="7B5AA15A" w14:textId="1B7FCB6E" w:rsidR="008B4E90" w:rsidRDefault="008B4E90" w:rsidP="001A065F">
      <w:pPr>
        <w:numPr>
          <w:ilvl w:val="0"/>
          <w:numId w:val="4"/>
        </w:numPr>
      </w:pPr>
      <w:r>
        <w:t>nebo připojení pomocí optického kabelu</w:t>
      </w:r>
    </w:p>
    <w:p w14:paraId="10AC0A0D" w14:textId="6FFB511B" w:rsidR="008B4E90" w:rsidRDefault="00973F9D" w:rsidP="008B4E90">
      <w:r>
        <w:t xml:space="preserve">Obě tyto řešení mají své výhody i nevýhody. </w:t>
      </w:r>
      <w:r w:rsidR="00053F82">
        <w:t>Využití CAT 6e mají sice relativně nízké pořizovací náklady, ovšem zaručují bezproblémový přenos do 100 m. V našem případě bychom museli tedy buďto riskovat přeslechy</w:t>
      </w:r>
      <w:r w:rsidR="00093805">
        <w:t xml:space="preserve"> a kolize</w:t>
      </w:r>
      <w:r w:rsidR="00053F82">
        <w:t xml:space="preserve">, nebo signál za cesty osvěžovat pomocí </w:t>
      </w:r>
      <w:r w:rsidR="00053F82" w:rsidRPr="00053F82">
        <w:rPr>
          <w:i/>
          <w:iCs/>
        </w:rPr>
        <w:t>repeaterů/switchů ve funkci repeateru</w:t>
      </w:r>
      <w:r w:rsidR="00053F82">
        <w:t xml:space="preserve">. </w:t>
      </w:r>
      <w:r w:rsidR="007A75EB">
        <w:t xml:space="preserve">To jsou ovšem aktivní prvky vyžadující napájení, </w:t>
      </w:r>
      <w:r w:rsidR="00AA1D88">
        <w:t xml:space="preserve">takže bychom museli část </w:t>
      </w:r>
      <w:r w:rsidR="009D6386">
        <w:t>vodičů</w:t>
      </w:r>
      <w:r w:rsidR="00AA1D88">
        <w:t xml:space="preserve"> obětovat pro </w:t>
      </w:r>
      <w:r w:rsidR="00AA1D88" w:rsidRPr="00AA1D88">
        <w:rPr>
          <w:i/>
          <w:iCs/>
        </w:rPr>
        <w:t>Power Over Ethernet</w:t>
      </w:r>
      <w:r w:rsidR="00AA1D88">
        <w:t>.</w:t>
      </w:r>
    </w:p>
    <w:p w14:paraId="176371E5" w14:textId="75EDF1BC" w:rsidR="00300EA8" w:rsidRDefault="00300EA8" w:rsidP="008B4E90">
      <w:r>
        <w:t>Tato možnost by vyžadovalo natažení kabelu mezi dvěma objekty, které by poté asi byly uloženy do ohebných trubek (husích krků)</w:t>
      </w:r>
      <w:r w:rsidR="003A4417">
        <w:t xml:space="preserve"> a zakopány trochu pod zem, jelikož mít kabely „jen tak na trávě“ by rozhodně nebylo praktické</w:t>
      </w:r>
      <w:r w:rsidR="00326710">
        <w:t>.</w:t>
      </w:r>
    </w:p>
    <w:p w14:paraId="30A878DB" w14:textId="54F5D99A" w:rsidR="00AA1D88" w:rsidRPr="00AA1D88" w:rsidRDefault="00FA4847" w:rsidP="008B4E90">
      <w:r>
        <w:t xml:space="preserve">Alternativou by bylo natažení optického spojení, což je ale pro tento konkrétní případ </w:t>
      </w:r>
      <w:r w:rsidR="00404A24">
        <w:t>nejenom hardwarový, ale i cenový</w:t>
      </w:r>
      <w:r>
        <w:t xml:space="preserve"> </w:t>
      </w:r>
      <w:r>
        <w:rPr>
          <w:i/>
          <w:iCs/>
        </w:rPr>
        <w:t>overkill</w:t>
      </w:r>
      <w:r>
        <w:t>.</w:t>
      </w:r>
    </w:p>
    <w:p w14:paraId="0853E65C" w14:textId="15B90009" w:rsidR="00A50AB9" w:rsidRPr="00A50AB9" w:rsidRDefault="00A50AB9" w:rsidP="00A50AB9">
      <w:pPr>
        <w:pStyle w:val="Nadpis3"/>
      </w:pPr>
      <w:r>
        <w:t>Bezdrátové připojení</w:t>
      </w:r>
    </w:p>
    <w:p w14:paraId="143F997A" w14:textId="1608C33E" w:rsidR="0045365F" w:rsidRDefault="00093805" w:rsidP="005A3359">
      <w:pPr>
        <w:spacing w:line="240" w:lineRule="auto"/>
      </w:pPr>
      <w:r>
        <w:t xml:space="preserve">Bezdrátové připojení má nepopiratelnou výhodu v tom, že nemusíme mít zařízení připojené pomocí vodiče k aktivnímu prvku, na druhou stranu </w:t>
      </w:r>
      <w:r w:rsidR="0097740F">
        <w:t>je velmi citlivá na překážky a okolí, ve kterém se signál šíří.</w:t>
      </w:r>
    </w:p>
    <w:p w14:paraId="36504331" w14:textId="77777777" w:rsidR="00111F38" w:rsidRDefault="00B95CA3" w:rsidP="00A76BB8">
      <w:r>
        <w:t xml:space="preserve">Vzhledem k tomu, že chceme spojit dva nehybné body, hodí se využít směrové antény. Jejich efektivita již ale konkrétně záleží na daném prostředí. Jedinou informací, kterou máme, je to, že není mezi objekty přímá viditelnost, ale otázkou je, co konkrétně tvoří překážku. </w:t>
      </w:r>
    </w:p>
    <w:p w14:paraId="6936DA77" w14:textId="36385F02" w:rsidR="00300EA8" w:rsidRDefault="00D80A76" w:rsidP="00A76BB8">
      <w:r>
        <w:t xml:space="preserve">Jedná se o zahradní domek, můžeme tedy vyloučit další budovu v cestě (pokud vlastníci nemají na zahradě </w:t>
      </w:r>
      <w:r w:rsidR="00886B3F">
        <w:t xml:space="preserve">vlastní </w:t>
      </w:r>
      <w:r>
        <w:t>sídliště).</w:t>
      </w:r>
      <w:r w:rsidR="00111F38">
        <w:t xml:space="preserve"> Nejpravděpodobněji se tedy jedná o nějaké dřeviny</w:t>
      </w:r>
      <w:r w:rsidR="00B30FC0">
        <w:t>, které, pokud zasahují do Fresnelovy zóny přenosu, by mohly způsobit rušivé odrazy (obzvlášť když zaprší, tak listnaté dřeviny budou naším největším nepřítelem).</w:t>
      </w:r>
      <w:r w:rsidR="00C90277">
        <w:t xml:space="preserve"> Dále je potřeba </w:t>
      </w:r>
      <w:r w:rsidR="00C732BE">
        <w:t>vzít v potaz</w:t>
      </w:r>
      <w:r w:rsidR="00C90277">
        <w:t xml:space="preserve"> množství</w:t>
      </w:r>
      <w:r w:rsidR="00A9151F">
        <w:t>, druh</w:t>
      </w:r>
      <w:r w:rsidR="00C90277">
        <w:t xml:space="preserve"> a hustotu dřevin na pozemku.</w:t>
      </w:r>
    </w:p>
    <w:p w14:paraId="4DF474F9" w14:textId="57713C18" w:rsidR="00B95CA3" w:rsidRDefault="00300EA8" w:rsidP="001C12D7">
      <w:pPr>
        <w:pStyle w:val="Nadpis3"/>
      </w:pPr>
      <w:r>
        <w:br w:type="page"/>
      </w:r>
      <w:r w:rsidR="00911EA6">
        <w:lastRenderedPageBreak/>
        <w:t>Odhadované n</w:t>
      </w:r>
      <w:r>
        <w:t>áklady</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4889"/>
        <w:gridCol w:w="4889"/>
      </w:tblGrid>
      <w:tr w:rsidR="007E09A2" w:rsidRPr="00DC3667" w14:paraId="46DC340F" w14:textId="77777777" w:rsidTr="007E09A2">
        <w:tc>
          <w:tcPr>
            <w:tcW w:w="9778" w:type="dxa"/>
            <w:gridSpan w:val="2"/>
            <w:tcBorders>
              <w:top w:val="single" w:sz="4" w:space="0" w:color="ED7D31"/>
              <w:left w:val="single" w:sz="4" w:space="0" w:color="ED7D31"/>
              <w:bottom w:val="single" w:sz="4" w:space="0" w:color="ED7D31"/>
              <w:right w:val="single" w:sz="4" w:space="0" w:color="ED7D31"/>
            </w:tcBorders>
            <w:shd w:val="clear" w:color="auto" w:fill="ED7D31"/>
          </w:tcPr>
          <w:p w14:paraId="0B93F9A0" w14:textId="69C66328" w:rsidR="00DC3667" w:rsidRPr="008A43BD" w:rsidRDefault="00DC3667" w:rsidP="007E09A2">
            <w:pPr>
              <w:pStyle w:val="tabulkagang"/>
              <w:jc w:val="center"/>
              <w:rPr>
                <w:b w:val="0"/>
                <w:bCs w:val="0"/>
              </w:rPr>
            </w:pPr>
            <w:r w:rsidRPr="008A43BD">
              <w:rPr>
                <w:b w:val="0"/>
                <w:bCs w:val="0"/>
              </w:rPr>
              <w:t>Kabeláž</w:t>
            </w:r>
          </w:p>
        </w:tc>
      </w:tr>
      <w:tr w:rsidR="007E09A2" w:rsidRPr="00DC3667" w14:paraId="47E06E5C" w14:textId="77777777" w:rsidTr="007E09A2">
        <w:tc>
          <w:tcPr>
            <w:tcW w:w="4889" w:type="dxa"/>
            <w:shd w:val="clear" w:color="auto" w:fill="ED7D31"/>
          </w:tcPr>
          <w:p w14:paraId="65CBBDCC" w14:textId="5089C299" w:rsidR="00DC3667" w:rsidRPr="004B7DC8" w:rsidRDefault="00DC3667" w:rsidP="007E09A2">
            <w:pPr>
              <w:pStyle w:val="tabulkagang"/>
              <w:jc w:val="center"/>
              <w:rPr>
                <w:b w:val="0"/>
                <w:bCs w:val="0"/>
              </w:rPr>
            </w:pPr>
            <w:r w:rsidRPr="004B7DC8">
              <w:rPr>
                <w:b w:val="0"/>
                <w:bCs w:val="0"/>
              </w:rPr>
              <w:t>Položka</w:t>
            </w:r>
          </w:p>
        </w:tc>
        <w:tc>
          <w:tcPr>
            <w:tcW w:w="4889" w:type="dxa"/>
            <w:shd w:val="clear" w:color="auto" w:fill="ED7D31"/>
          </w:tcPr>
          <w:p w14:paraId="543D1F23" w14:textId="7870DF89" w:rsidR="00DC3667" w:rsidRPr="007E09A2" w:rsidRDefault="00DC3667" w:rsidP="007E09A2">
            <w:pPr>
              <w:pStyle w:val="tabulkagang"/>
              <w:jc w:val="center"/>
              <w:rPr>
                <w:b w:val="0"/>
                <w:bCs w:val="0"/>
              </w:rPr>
            </w:pPr>
            <w:r w:rsidRPr="007E09A2">
              <w:rPr>
                <w:b w:val="0"/>
                <w:bCs w:val="0"/>
              </w:rPr>
              <w:t>Cena</w:t>
            </w:r>
          </w:p>
        </w:tc>
      </w:tr>
      <w:tr w:rsidR="007E09A2" w:rsidRPr="00DC3667" w14:paraId="70E537DA" w14:textId="77777777" w:rsidTr="007E09A2">
        <w:tc>
          <w:tcPr>
            <w:tcW w:w="4889" w:type="dxa"/>
            <w:shd w:val="clear" w:color="auto" w:fill="auto"/>
            <w:vAlign w:val="center"/>
          </w:tcPr>
          <w:p w14:paraId="08C6017D" w14:textId="3B57F403" w:rsidR="00DC3667" w:rsidRPr="004B7DC8" w:rsidRDefault="00DC3667" w:rsidP="007E09A2">
            <w:pPr>
              <w:pStyle w:val="tabulkagang"/>
              <w:rPr>
                <w:b w:val="0"/>
                <w:bCs w:val="0"/>
              </w:rPr>
            </w:pPr>
            <w:r w:rsidRPr="004B7DC8">
              <w:rPr>
                <w:b w:val="0"/>
                <w:bCs w:val="0"/>
              </w:rPr>
              <w:t>C</w:t>
            </w:r>
            <w:r w:rsidR="00232189" w:rsidRPr="004B7DC8">
              <w:rPr>
                <w:b w:val="0"/>
                <w:bCs w:val="0"/>
              </w:rPr>
              <w:t>AT 5e 250</w:t>
            </w:r>
            <w:r w:rsidR="004B7DC8">
              <w:rPr>
                <w:b w:val="0"/>
                <w:bCs w:val="0"/>
              </w:rPr>
              <w:t xml:space="preserve"> </w:t>
            </w:r>
            <w:r w:rsidR="00232189" w:rsidRPr="004B7DC8">
              <w:rPr>
                <w:b w:val="0"/>
                <w:bCs w:val="0"/>
              </w:rPr>
              <w:t>m</w:t>
            </w:r>
            <w:r w:rsidR="004B7DC8">
              <w:rPr>
                <w:b w:val="0"/>
                <w:bCs w:val="0"/>
              </w:rPr>
              <w:t>etrů</w:t>
            </w:r>
          </w:p>
        </w:tc>
        <w:tc>
          <w:tcPr>
            <w:tcW w:w="4889" w:type="dxa"/>
            <w:shd w:val="clear" w:color="auto" w:fill="auto"/>
            <w:vAlign w:val="center"/>
          </w:tcPr>
          <w:p w14:paraId="2F33CA50" w14:textId="368F6DF8" w:rsidR="00DC3667" w:rsidRPr="007E09A2" w:rsidRDefault="00911EA6" w:rsidP="007E09A2">
            <w:pPr>
              <w:pStyle w:val="tabulkagang"/>
              <w:rPr>
                <w:b w:val="0"/>
                <w:bCs w:val="0"/>
              </w:rPr>
            </w:pPr>
            <w:r w:rsidRPr="007E09A2">
              <w:rPr>
                <w:b w:val="0"/>
                <w:bCs w:val="0"/>
              </w:rPr>
              <w:t>±</w:t>
            </w:r>
            <w:r w:rsidR="00232189" w:rsidRPr="007E09A2">
              <w:rPr>
                <w:b w:val="0"/>
                <w:bCs w:val="0"/>
              </w:rPr>
              <w:t>2000 Kč</w:t>
            </w:r>
          </w:p>
        </w:tc>
      </w:tr>
      <w:tr w:rsidR="007E09A2" w:rsidRPr="00DC3667" w14:paraId="2B546D46" w14:textId="77777777" w:rsidTr="007E09A2">
        <w:tc>
          <w:tcPr>
            <w:tcW w:w="4889" w:type="dxa"/>
            <w:shd w:val="clear" w:color="auto" w:fill="FBE4D5"/>
            <w:vAlign w:val="center"/>
          </w:tcPr>
          <w:p w14:paraId="249C8967" w14:textId="580144A4" w:rsidR="00DC3667" w:rsidRPr="004B7DC8" w:rsidRDefault="001640D3" w:rsidP="007E09A2">
            <w:pPr>
              <w:pStyle w:val="tabulkagang"/>
              <w:rPr>
                <w:b w:val="0"/>
                <w:bCs w:val="0"/>
              </w:rPr>
            </w:pPr>
            <w:r w:rsidRPr="004B7DC8">
              <w:rPr>
                <w:b w:val="0"/>
                <w:bCs w:val="0"/>
              </w:rPr>
              <w:t>2x Mikrotik GPER repeater</w:t>
            </w:r>
          </w:p>
        </w:tc>
        <w:tc>
          <w:tcPr>
            <w:tcW w:w="4889" w:type="dxa"/>
            <w:shd w:val="clear" w:color="auto" w:fill="FBE4D5"/>
            <w:vAlign w:val="center"/>
          </w:tcPr>
          <w:p w14:paraId="244FFAC7" w14:textId="0B29C688" w:rsidR="00DC3667" w:rsidRPr="007E09A2" w:rsidRDefault="00911EA6" w:rsidP="007E09A2">
            <w:pPr>
              <w:pStyle w:val="tabulkagang"/>
              <w:rPr>
                <w:b w:val="0"/>
                <w:bCs w:val="0"/>
              </w:rPr>
            </w:pPr>
            <w:r w:rsidRPr="007E09A2">
              <w:rPr>
                <w:b w:val="0"/>
                <w:bCs w:val="0"/>
              </w:rPr>
              <w:t>±</w:t>
            </w:r>
            <w:r w:rsidR="001640D3" w:rsidRPr="007E09A2">
              <w:rPr>
                <w:b w:val="0"/>
                <w:bCs w:val="0"/>
              </w:rPr>
              <w:t>1200 Kč</w:t>
            </w:r>
          </w:p>
        </w:tc>
      </w:tr>
      <w:tr w:rsidR="007E09A2" w:rsidRPr="00DC3667" w14:paraId="5951C4A4" w14:textId="77777777" w:rsidTr="007E09A2">
        <w:tc>
          <w:tcPr>
            <w:tcW w:w="4889" w:type="dxa"/>
            <w:shd w:val="clear" w:color="auto" w:fill="auto"/>
            <w:vAlign w:val="center"/>
          </w:tcPr>
          <w:p w14:paraId="60F0ED1F" w14:textId="4CC6D18E" w:rsidR="00DC3667" w:rsidRPr="004B7DC8" w:rsidRDefault="001640D3" w:rsidP="007E09A2">
            <w:pPr>
              <w:pStyle w:val="tabulkagang"/>
              <w:rPr>
                <w:b w:val="0"/>
                <w:bCs w:val="0"/>
              </w:rPr>
            </w:pPr>
            <w:r w:rsidRPr="004B7DC8">
              <w:rPr>
                <w:b w:val="0"/>
                <w:bCs w:val="0"/>
              </w:rPr>
              <w:t>PoE Injector</w:t>
            </w:r>
          </w:p>
        </w:tc>
        <w:tc>
          <w:tcPr>
            <w:tcW w:w="4889" w:type="dxa"/>
            <w:shd w:val="clear" w:color="auto" w:fill="auto"/>
            <w:vAlign w:val="center"/>
          </w:tcPr>
          <w:p w14:paraId="15C59E2C" w14:textId="3246A8D3" w:rsidR="00DC3667" w:rsidRPr="007E09A2" w:rsidRDefault="00911EA6" w:rsidP="007E09A2">
            <w:pPr>
              <w:pStyle w:val="tabulkagang"/>
              <w:rPr>
                <w:b w:val="0"/>
                <w:bCs w:val="0"/>
              </w:rPr>
            </w:pPr>
            <w:r w:rsidRPr="007E09A2">
              <w:rPr>
                <w:b w:val="0"/>
                <w:bCs w:val="0"/>
              </w:rPr>
              <w:t>±</w:t>
            </w:r>
            <w:r w:rsidR="008B67FF" w:rsidRPr="007E09A2">
              <w:rPr>
                <w:b w:val="0"/>
                <w:bCs w:val="0"/>
              </w:rPr>
              <w:t>450 Kč</w:t>
            </w:r>
          </w:p>
        </w:tc>
      </w:tr>
      <w:tr w:rsidR="007E09A2" w:rsidRPr="00DC3667" w14:paraId="7FFC16CF" w14:textId="77777777" w:rsidTr="007E09A2">
        <w:tc>
          <w:tcPr>
            <w:tcW w:w="4889" w:type="dxa"/>
            <w:shd w:val="clear" w:color="auto" w:fill="FBE4D5"/>
            <w:vAlign w:val="center"/>
          </w:tcPr>
          <w:p w14:paraId="30F1AC6F" w14:textId="283EEFBD" w:rsidR="00DC3667" w:rsidRPr="004B7DC8" w:rsidRDefault="00C45DF4" w:rsidP="007E09A2">
            <w:pPr>
              <w:pStyle w:val="tabulkagang"/>
              <w:rPr>
                <w:b w:val="0"/>
                <w:bCs w:val="0"/>
              </w:rPr>
            </w:pPr>
            <w:r w:rsidRPr="004B7DC8">
              <w:rPr>
                <w:b w:val="0"/>
                <w:bCs w:val="0"/>
              </w:rPr>
              <w:t>Ohebná trubka (husí krk)</w:t>
            </w:r>
          </w:p>
        </w:tc>
        <w:tc>
          <w:tcPr>
            <w:tcW w:w="4889" w:type="dxa"/>
            <w:shd w:val="clear" w:color="auto" w:fill="FBE4D5"/>
            <w:vAlign w:val="center"/>
          </w:tcPr>
          <w:p w14:paraId="4270E488" w14:textId="02A9F639" w:rsidR="00DC3667" w:rsidRPr="007E09A2" w:rsidRDefault="00911EA6" w:rsidP="007E09A2">
            <w:pPr>
              <w:pStyle w:val="tabulkagang"/>
              <w:rPr>
                <w:b w:val="0"/>
                <w:bCs w:val="0"/>
              </w:rPr>
            </w:pPr>
            <w:r w:rsidRPr="007E09A2">
              <w:rPr>
                <w:b w:val="0"/>
                <w:bCs w:val="0"/>
              </w:rPr>
              <w:t>±</w:t>
            </w:r>
            <w:r w:rsidR="00C45DF4" w:rsidRPr="007E09A2">
              <w:rPr>
                <w:b w:val="0"/>
                <w:bCs w:val="0"/>
              </w:rPr>
              <w:t>330 Kč</w:t>
            </w:r>
          </w:p>
        </w:tc>
      </w:tr>
      <w:tr w:rsidR="007E09A2" w:rsidRPr="00DC3667" w14:paraId="5BA2E6DA" w14:textId="77777777" w:rsidTr="007E09A2">
        <w:tc>
          <w:tcPr>
            <w:tcW w:w="4889" w:type="dxa"/>
            <w:shd w:val="clear" w:color="auto" w:fill="ED7D31"/>
            <w:vAlign w:val="center"/>
          </w:tcPr>
          <w:p w14:paraId="70A7292F" w14:textId="777354C2" w:rsidR="00911EA6" w:rsidRPr="004B7DC8" w:rsidRDefault="00911EA6" w:rsidP="004B7DC8">
            <w:pPr>
              <w:pStyle w:val="tabulkagang"/>
              <w:rPr>
                <w:b w:val="0"/>
                <w:bCs w:val="0"/>
              </w:rPr>
            </w:pPr>
            <w:r>
              <w:rPr>
                <w:b w:val="0"/>
                <w:bCs w:val="0"/>
              </w:rPr>
              <w:t>Celkem</w:t>
            </w:r>
          </w:p>
        </w:tc>
        <w:tc>
          <w:tcPr>
            <w:tcW w:w="4889" w:type="dxa"/>
            <w:shd w:val="clear" w:color="auto" w:fill="ED7D31"/>
            <w:vAlign w:val="center"/>
          </w:tcPr>
          <w:p w14:paraId="57E3DD05" w14:textId="50817BBF" w:rsidR="00911EA6" w:rsidRPr="007E09A2" w:rsidRDefault="00911EA6" w:rsidP="004B7DC8">
            <w:pPr>
              <w:pStyle w:val="tabulkagang"/>
              <w:rPr>
                <w:b w:val="0"/>
                <w:bCs w:val="0"/>
              </w:rPr>
            </w:pPr>
            <w:r w:rsidRPr="007E09A2">
              <w:rPr>
                <w:b w:val="0"/>
                <w:bCs w:val="0"/>
              </w:rPr>
              <w:t>±</w:t>
            </w:r>
            <w:r w:rsidRPr="007E09A2">
              <w:rPr>
                <w:b w:val="0"/>
                <w:bCs w:val="0"/>
              </w:rPr>
              <w:t>4000 Kč</w:t>
            </w:r>
          </w:p>
        </w:tc>
      </w:tr>
    </w:tbl>
    <w:p w14:paraId="3E7D54DC" w14:textId="3FE14406" w:rsidR="001C12D7" w:rsidRDefault="001C12D7" w:rsidP="001C12D7"/>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4889"/>
        <w:gridCol w:w="4889"/>
      </w:tblGrid>
      <w:tr w:rsidR="007E09A2" w:rsidRPr="00DC3667" w14:paraId="4817F664" w14:textId="77777777" w:rsidTr="007E09A2">
        <w:tc>
          <w:tcPr>
            <w:tcW w:w="977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C25FAEC" w14:textId="3D9F0581" w:rsidR="003A552F" w:rsidRPr="008A43BD" w:rsidRDefault="003A552F" w:rsidP="007E09A2">
            <w:pPr>
              <w:pStyle w:val="tabulkagang"/>
              <w:jc w:val="center"/>
              <w:rPr>
                <w:b w:val="0"/>
                <w:bCs w:val="0"/>
              </w:rPr>
            </w:pPr>
            <w:r>
              <w:rPr>
                <w:b w:val="0"/>
                <w:bCs w:val="0"/>
              </w:rPr>
              <w:t>Wifi most</w:t>
            </w:r>
          </w:p>
        </w:tc>
      </w:tr>
      <w:tr w:rsidR="003A552F" w:rsidRPr="00DC3667" w14:paraId="01F90F91" w14:textId="77777777" w:rsidTr="007E09A2">
        <w:tc>
          <w:tcPr>
            <w:tcW w:w="4889" w:type="dxa"/>
            <w:shd w:val="clear" w:color="auto" w:fill="ED7D31"/>
          </w:tcPr>
          <w:p w14:paraId="5A543F2E" w14:textId="77777777" w:rsidR="003A552F" w:rsidRPr="004B7DC8" w:rsidRDefault="003A552F" w:rsidP="007E09A2">
            <w:pPr>
              <w:pStyle w:val="tabulkagang"/>
              <w:jc w:val="center"/>
              <w:rPr>
                <w:b w:val="0"/>
                <w:bCs w:val="0"/>
              </w:rPr>
            </w:pPr>
            <w:r w:rsidRPr="004B7DC8">
              <w:rPr>
                <w:b w:val="0"/>
                <w:bCs w:val="0"/>
              </w:rPr>
              <w:t>Položka</w:t>
            </w:r>
          </w:p>
        </w:tc>
        <w:tc>
          <w:tcPr>
            <w:tcW w:w="4889" w:type="dxa"/>
            <w:shd w:val="clear" w:color="auto" w:fill="ED7D31"/>
          </w:tcPr>
          <w:p w14:paraId="6D08B448" w14:textId="77777777" w:rsidR="003A552F" w:rsidRPr="007E09A2" w:rsidRDefault="003A552F" w:rsidP="007E09A2">
            <w:pPr>
              <w:pStyle w:val="tabulkagang"/>
              <w:jc w:val="center"/>
              <w:rPr>
                <w:b w:val="0"/>
                <w:bCs w:val="0"/>
              </w:rPr>
            </w:pPr>
            <w:r w:rsidRPr="007E09A2">
              <w:rPr>
                <w:b w:val="0"/>
                <w:bCs w:val="0"/>
              </w:rPr>
              <w:t>Cena</w:t>
            </w:r>
          </w:p>
        </w:tc>
      </w:tr>
      <w:tr w:rsidR="007E09A2" w:rsidRPr="00DC3667" w14:paraId="46925710" w14:textId="77777777" w:rsidTr="007E09A2">
        <w:tc>
          <w:tcPr>
            <w:tcW w:w="4889" w:type="dxa"/>
            <w:shd w:val="clear" w:color="auto" w:fill="auto"/>
            <w:vAlign w:val="center"/>
          </w:tcPr>
          <w:p w14:paraId="4AD6E63F" w14:textId="3826C0CB" w:rsidR="003A552F" w:rsidRPr="004B7DC8" w:rsidRDefault="001353D2" w:rsidP="007E09A2">
            <w:pPr>
              <w:pStyle w:val="tabulkagang"/>
              <w:rPr>
                <w:b w:val="0"/>
                <w:bCs w:val="0"/>
              </w:rPr>
            </w:pPr>
            <w:r>
              <w:rPr>
                <w:b w:val="0"/>
                <w:bCs w:val="0"/>
              </w:rPr>
              <w:t>2x směrová anténa</w:t>
            </w:r>
          </w:p>
        </w:tc>
        <w:tc>
          <w:tcPr>
            <w:tcW w:w="4889" w:type="dxa"/>
            <w:shd w:val="clear" w:color="auto" w:fill="auto"/>
            <w:vAlign w:val="center"/>
          </w:tcPr>
          <w:p w14:paraId="314BDE0D" w14:textId="255AC080" w:rsidR="003A552F" w:rsidRPr="007E09A2" w:rsidRDefault="003A552F" w:rsidP="007E09A2">
            <w:pPr>
              <w:pStyle w:val="tabulkagang"/>
              <w:rPr>
                <w:b w:val="0"/>
                <w:bCs w:val="0"/>
              </w:rPr>
            </w:pPr>
            <w:r w:rsidRPr="007E09A2">
              <w:rPr>
                <w:b w:val="0"/>
                <w:bCs w:val="0"/>
              </w:rPr>
              <w:t>±</w:t>
            </w:r>
            <w:r w:rsidR="00FC5D37" w:rsidRPr="007E09A2">
              <w:rPr>
                <w:b w:val="0"/>
                <w:bCs w:val="0"/>
              </w:rPr>
              <w:t>2</w:t>
            </w:r>
            <w:r w:rsidR="00A97656" w:rsidRPr="007E09A2">
              <w:rPr>
                <w:b w:val="0"/>
                <w:bCs w:val="0"/>
              </w:rPr>
              <w:t>000</w:t>
            </w:r>
            <w:r w:rsidRPr="007E09A2">
              <w:rPr>
                <w:b w:val="0"/>
                <w:bCs w:val="0"/>
              </w:rPr>
              <w:t xml:space="preserve"> Kč</w:t>
            </w:r>
          </w:p>
        </w:tc>
      </w:tr>
      <w:tr w:rsidR="007E09A2" w:rsidRPr="00DC3667" w14:paraId="314E4FBF" w14:textId="77777777" w:rsidTr="007E09A2">
        <w:tc>
          <w:tcPr>
            <w:tcW w:w="4889" w:type="dxa"/>
            <w:shd w:val="clear" w:color="auto" w:fill="ED7D31"/>
            <w:vAlign w:val="center"/>
          </w:tcPr>
          <w:p w14:paraId="2A75B87E" w14:textId="77777777" w:rsidR="003A552F" w:rsidRPr="004B7DC8" w:rsidRDefault="003A552F" w:rsidP="001C40B8">
            <w:pPr>
              <w:pStyle w:val="tabulkagang"/>
              <w:rPr>
                <w:b w:val="0"/>
                <w:bCs w:val="0"/>
              </w:rPr>
            </w:pPr>
            <w:r>
              <w:rPr>
                <w:b w:val="0"/>
                <w:bCs w:val="0"/>
              </w:rPr>
              <w:t>Celkem</w:t>
            </w:r>
          </w:p>
        </w:tc>
        <w:tc>
          <w:tcPr>
            <w:tcW w:w="4889" w:type="dxa"/>
            <w:shd w:val="clear" w:color="auto" w:fill="ED7D31"/>
            <w:vAlign w:val="center"/>
          </w:tcPr>
          <w:p w14:paraId="01338A53" w14:textId="5F168CCA" w:rsidR="003A552F" w:rsidRPr="007E09A2" w:rsidRDefault="003A552F" w:rsidP="001C40B8">
            <w:pPr>
              <w:pStyle w:val="tabulkagang"/>
              <w:rPr>
                <w:b w:val="0"/>
                <w:bCs w:val="0"/>
              </w:rPr>
            </w:pPr>
            <w:r w:rsidRPr="007E09A2">
              <w:rPr>
                <w:b w:val="0"/>
                <w:bCs w:val="0"/>
              </w:rPr>
              <w:t>±</w:t>
            </w:r>
            <w:r w:rsidR="00FC5D37" w:rsidRPr="007E09A2">
              <w:rPr>
                <w:b w:val="0"/>
                <w:bCs w:val="0"/>
              </w:rPr>
              <w:t>2000</w:t>
            </w:r>
            <w:r w:rsidRPr="007E09A2">
              <w:rPr>
                <w:b w:val="0"/>
                <w:bCs w:val="0"/>
              </w:rPr>
              <w:t xml:space="preserve"> Kč</w:t>
            </w:r>
          </w:p>
        </w:tc>
      </w:tr>
    </w:tbl>
    <w:p w14:paraId="3FFB70DF" w14:textId="77777777" w:rsidR="003A552F" w:rsidRPr="001C12D7" w:rsidRDefault="003A552F" w:rsidP="001C12D7"/>
    <w:p w14:paraId="25EF2599" w14:textId="77777777" w:rsidR="00326710" w:rsidRPr="00326710" w:rsidRDefault="00326710" w:rsidP="00326710"/>
    <w:p w14:paraId="7922DC6C" w14:textId="77777777" w:rsidR="00971378" w:rsidRDefault="00971378" w:rsidP="00971378">
      <w:pPr>
        <w:pStyle w:val="Nadpis2"/>
      </w:pPr>
      <w:r>
        <w:br w:type="page"/>
      </w:r>
      <w:r>
        <w:lastRenderedPageBreak/>
        <w:t>Závěr</w:t>
      </w:r>
    </w:p>
    <w:p w14:paraId="496F0D20" w14:textId="3CA0DBBA" w:rsidR="00971378" w:rsidRPr="00C508EE" w:rsidRDefault="00C508EE" w:rsidP="00971378">
      <w:pPr>
        <w:rPr>
          <w:iCs/>
        </w:rPr>
      </w:pPr>
      <w:r>
        <w:rPr>
          <w:iCs/>
        </w:rPr>
        <w:t xml:space="preserve">Na návrh </w:t>
      </w:r>
      <w:r w:rsidR="00C12B01">
        <w:rPr>
          <w:iCs/>
        </w:rPr>
        <w:t xml:space="preserve">propojení dvou </w:t>
      </w:r>
      <w:r>
        <w:rPr>
          <w:iCs/>
        </w:rPr>
        <w:t>sít</w:t>
      </w:r>
      <w:r w:rsidR="00C12B01">
        <w:rPr>
          <w:iCs/>
        </w:rPr>
        <w:t>í</w:t>
      </w:r>
      <w:r>
        <w:rPr>
          <w:iCs/>
        </w:rPr>
        <w:t xml:space="preserve"> neexistuje univerzální postup a vždy je potřeba zvážit </w:t>
      </w:r>
      <w:r w:rsidR="00C12B01">
        <w:rPr>
          <w:iCs/>
        </w:rPr>
        <w:t xml:space="preserve">prostředí a dostupné prostředky. </w:t>
      </w:r>
      <w:r w:rsidR="00402DB3">
        <w:rPr>
          <w:iCs/>
        </w:rPr>
        <w:t>Bezdrátový přenos se jeví jako levnější varianta, jejíž kvalita přenosu je ale velmi citlivá na okolní prostředí.</w:t>
      </w:r>
      <w:r w:rsidR="00DD7251">
        <w:rPr>
          <w:iCs/>
        </w:rPr>
        <w:t xml:space="preserve"> Nejdůležitějšími parametry na zvážení je tedy vzdálenost a překážky mezi </w:t>
      </w:r>
      <w:r w:rsidR="00804206">
        <w:rPr>
          <w:iCs/>
        </w:rPr>
        <w:t>body.</w:t>
      </w:r>
    </w:p>
    <w:sectPr w:rsidR="00971378" w:rsidRPr="00C508EE" w:rsidSect="00A21B0C">
      <w:headerReference w:type="default" r:id="rId8"/>
      <w:footerReference w:type="default" r:id="rId9"/>
      <w:pgSz w:w="11906" w:h="16838" w:code="9"/>
      <w:pgMar w:top="1588" w:right="1134" w:bottom="1134" w:left="1134" w:header="1304"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91E3" w14:textId="77777777" w:rsidR="007E09A2" w:rsidRPr="00D91740" w:rsidRDefault="007E09A2" w:rsidP="00D91740">
      <w:r>
        <w:separator/>
      </w:r>
    </w:p>
  </w:endnote>
  <w:endnote w:type="continuationSeparator" w:id="0">
    <w:p w14:paraId="6C7F118F" w14:textId="77777777" w:rsidR="007E09A2" w:rsidRPr="00D91740" w:rsidRDefault="007E09A2" w:rsidP="00D9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E4F5" w14:textId="77777777" w:rsidR="00A21B0C" w:rsidRDefault="007E09A2" w:rsidP="00A21B0C">
    <w:pPr>
      <w:pStyle w:val="Default"/>
      <w:spacing w:line="420" w:lineRule="auto"/>
      <w:rPr>
        <w:color w:val="7AC141"/>
        <w:sz w:val="12"/>
        <w:szCs w:val="16"/>
      </w:rPr>
    </w:pPr>
    <w:r>
      <w:rPr>
        <w:noProof/>
      </w:rPr>
      <w:pict w14:anchorId="290BB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55.95pt;margin-top:.4pt;width:594.65pt;height:39.6pt;z-index:-1">
          <v:imagedata r:id="rId1" o:title="TUL-word_Stránka_14"/>
        </v:shape>
      </w:pict>
    </w:r>
    <w:r w:rsidR="00A21B0C">
      <w:rPr>
        <w:b/>
        <w:bCs/>
        <w:color w:val="221E1F"/>
        <w:sz w:val="12"/>
        <w:szCs w:val="16"/>
      </w:rPr>
      <w:t>T</w:t>
    </w:r>
    <w:r w:rsidR="00A21B0C" w:rsidRPr="00CC2079">
      <w:rPr>
        <w:b/>
        <w:bCs/>
        <w:color w:val="221E1F"/>
        <w:sz w:val="12"/>
        <w:szCs w:val="16"/>
      </w:rPr>
      <w:t>ECHNICKÁ UNIVERZITA V</w:t>
    </w:r>
    <w:r w:rsidR="009D4786">
      <w:rPr>
        <w:b/>
        <w:bCs/>
        <w:color w:val="221E1F"/>
        <w:sz w:val="12"/>
        <w:szCs w:val="16"/>
      </w:rPr>
      <w:t> </w:t>
    </w:r>
    <w:r w:rsidR="00A21B0C" w:rsidRPr="00CC2079">
      <w:rPr>
        <w:b/>
        <w:bCs/>
        <w:color w:val="221E1F"/>
        <w:sz w:val="12"/>
        <w:szCs w:val="16"/>
      </w:rPr>
      <w:t>LIBERCI</w:t>
    </w:r>
    <w:r w:rsidR="009D4786">
      <w:rPr>
        <w:b/>
        <w:bCs/>
        <w:color w:val="221E1F"/>
        <w:sz w:val="12"/>
        <w:szCs w:val="16"/>
      </w:rPr>
      <w:t xml:space="preserve"> </w:t>
    </w:r>
    <w:r w:rsidR="009D4786" w:rsidRPr="009D4786">
      <w:rPr>
        <w:color w:val="EE7F00"/>
        <w:sz w:val="12"/>
        <w:szCs w:val="16"/>
      </w:rPr>
      <w:t xml:space="preserve">| </w:t>
    </w:r>
    <w:r w:rsidR="009D4786" w:rsidRPr="009D4786">
      <w:rPr>
        <w:b/>
        <w:bCs/>
        <w:color w:val="EE7F00"/>
        <w:sz w:val="12"/>
        <w:szCs w:val="16"/>
      </w:rPr>
      <w:t>Fakulta mechatroniky, informatiky a mezioborových studií</w:t>
    </w:r>
    <w:r w:rsidR="00A21B0C" w:rsidRPr="009D4786">
      <w:rPr>
        <w:b/>
        <w:bCs/>
        <w:color w:val="EE7F00"/>
        <w:sz w:val="12"/>
        <w:szCs w:val="16"/>
      </w:rPr>
      <w:t xml:space="preserve"> </w:t>
    </w:r>
    <w:r w:rsidR="00A21B0C" w:rsidRPr="009D4786">
      <w:rPr>
        <w:color w:val="EE7F00"/>
        <w:sz w:val="12"/>
        <w:szCs w:val="16"/>
      </w:rPr>
      <w:t>|</w:t>
    </w:r>
    <w:r w:rsidR="00A21B0C" w:rsidRPr="00CC2079">
      <w:rPr>
        <w:color w:val="7AC141"/>
        <w:sz w:val="12"/>
        <w:szCs w:val="16"/>
      </w:rPr>
      <w:t xml:space="preserve"> </w:t>
    </w:r>
  </w:p>
  <w:p w14:paraId="10685D34" w14:textId="77777777" w:rsidR="00971378" w:rsidRDefault="00971378" w:rsidP="00A21B0C">
    <w:pPr>
      <w:pStyle w:val="Default"/>
      <w:spacing w:line="42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EABA" w14:textId="77777777" w:rsidR="007E09A2" w:rsidRPr="00D91740" w:rsidRDefault="007E09A2" w:rsidP="00D91740">
      <w:r>
        <w:separator/>
      </w:r>
    </w:p>
  </w:footnote>
  <w:footnote w:type="continuationSeparator" w:id="0">
    <w:p w14:paraId="5F080DE3" w14:textId="77777777" w:rsidR="007E09A2" w:rsidRPr="00D91740" w:rsidRDefault="007E09A2" w:rsidP="00D91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34767" w14:textId="77777777" w:rsidR="00F47BDF" w:rsidRPr="00D91740" w:rsidRDefault="007E09A2" w:rsidP="00E63C1E">
    <w:pPr>
      <w:pStyle w:val="Zhlav"/>
      <w:rPr>
        <w:rFonts w:ascii="Myriad Pro" w:hAnsi="Myriad Pro"/>
      </w:rPr>
    </w:pPr>
    <w:r>
      <w:rPr>
        <w:noProof/>
      </w:rPr>
      <w:pict w14:anchorId="249FF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56.5pt;margin-top:-66.7pt;width:594.65pt;height:79.3pt;z-index:-2">
          <v:imagedata r:id="rId1" o:title="TUL-word_Stránka_13"/>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0C6"/>
    <w:multiLevelType w:val="hybridMultilevel"/>
    <w:tmpl w:val="E2ACA378"/>
    <w:lvl w:ilvl="0" w:tplc="334073DA">
      <w:numFmt w:val="bullet"/>
      <w:lvlText w:val="-"/>
      <w:lvlJc w:val="left"/>
      <w:pPr>
        <w:ind w:left="720" w:hanging="360"/>
      </w:pPr>
      <w:rPr>
        <w:rFonts w:ascii="Calibri" w:eastAsia="Calibr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0C43E3D"/>
    <w:multiLevelType w:val="hybridMultilevel"/>
    <w:tmpl w:val="1DE40FE2"/>
    <w:lvl w:ilvl="0" w:tplc="6992A332">
      <w:numFmt w:val="bullet"/>
      <w:lvlText w:val="-"/>
      <w:lvlJc w:val="left"/>
      <w:pPr>
        <w:ind w:left="720" w:hanging="360"/>
      </w:pPr>
      <w:rPr>
        <w:rFonts w:ascii="Calibri" w:eastAsia="Calibr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22D6227"/>
    <w:multiLevelType w:val="hybridMultilevel"/>
    <w:tmpl w:val="882ECC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7961392"/>
    <w:multiLevelType w:val="multilevel"/>
    <w:tmpl w:val="F1B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C73B3"/>
    <w:multiLevelType w:val="multilevel"/>
    <w:tmpl w:val="C0F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77786">
    <w:abstractNumId w:val="3"/>
  </w:num>
  <w:num w:numId="2" w16cid:durableId="764350037">
    <w:abstractNumId w:val="4"/>
  </w:num>
  <w:num w:numId="3" w16cid:durableId="1304774879">
    <w:abstractNumId w:val="0"/>
  </w:num>
  <w:num w:numId="4" w16cid:durableId="1871526826">
    <w:abstractNumId w:val="1"/>
  </w:num>
  <w:num w:numId="5" w16cid:durableId="1729917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attachedTemplate r:id="rId1"/>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0C59"/>
    <w:rsid w:val="00016D7E"/>
    <w:rsid w:val="0002342B"/>
    <w:rsid w:val="000306B7"/>
    <w:rsid w:val="00037E8B"/>
    <w:rsid w:val="00053F82"/>
    <w:rsid w:val="00093805"/>
    <w:rsid w:val="000C73BA"/>
    <w:rsid w:val="000F1B08"/>
    <w:rsid w:val="00111F38"/>
    <w:rsid w:val="0012295B"/>
    <w:rsid w:val="001353D2"/>
    <w:rsid w:val="0014079A"/>
    <w:rsid w:val="001472E5"/>
    <w:rsid w:val="001640D3"/>
    <w:rsid w:val="001903D8"/>
    <w:rsid w:val="00197647"/>
    <w:rsid w:val="001A065F"/>
    <w:rsid w:val="001A21D5"/>
    <w:rsid w:val="001A5FEB"/>
    <w:rsid w:val="001C12D7"/>
    <w:rsid w:val="001D0688"/>
    <w:rsid w:val="001E574E"/>
    <w:rsid w:val="00221DCD"/>
    <w:rsid w:val="00232189"/>
    <w:rsid w:val="00296AE0"/>
    <w:rsid w:val="002C3F82"/>
    <w:rsid w:val="002F2D27"/>
    <w:rsid w:val="00300EA8"/>
    <w:rsid w:val="0030422E"/>
    <w:rsid w:val="0031128F"/>
    <w:rsid w:val="003132BD"/>
    <w:rsid w:val="00326710"/>
    <w:rsid w:val="003534CF"/>
    <w:rsid w:val="00372720"/>
    <w:rsid w:val="003855A8"/>
    <w:rsid w:val="00392572"/>
    <w:rsid w:val="003A4417"/>
    <w:rsid w:val="003A552F"/>
    <w:rsid w:val="003C2732"/>
    <w:rsid w:val="003D4251"/>
    <w:rsid w:val="003E23D0"/>
    <w:rsid w:val="003F3BDC"/>
    <w:rsid w:val="003F5C1D"/>
    <w:rsid w:val="00402DB3"/>
    <w:rsid w:val="00404A24"/>
    <w:rsid w:val="0041455E"/>
    <w:rsid w:val="00415EDC"/>
    <w:rsid w:val="0045365F"/>
    <w:rsid w:val="0047294E"/>
    <w:rsid w:val="00491A98"/>
    <w:rsid w:val="004B7DC8"/>
    <w:rsid w:val="004D2CEC"/>
    <w:rsid w:val="004F2057"/>
    <w:rsid w:val="0054513A"/>
    <w:rsid w:val="00547F33"/>
    <w:rsid w:val="00581D47"/>
    <w:rsid w:val="005A3359"/>
    <w:rsid w:val="005C195F"/>
    <w:rsid w:val="0062547B"/>
    <w:rsid w:val="006337AE"/>
    <w:rsid w:val="00635E47"/>
    <w:rsid w:val="006440C1"/>
    <w:rsid w:val="00682258"/>
    <w:rsid w:val="006A2B2E"/>
    <w:rsid w:val="006B099C"/>
    <w:rsid w:val="006B2306"/>
    <w:rsid w:val="006C1248"/>
    <w:rsid w:val="006C49EC"/>
    <w:rsid w:val="006D0C59"/>
    <w:rsid w:val="006D588D"/>
    <w:rsid w:val="00727D1E"/>
    <w:rsid w:val="007A75EB"/>
    <w:rsid w:val="007B0CB7"/>
    <w:rsid w:val="007D23F8"/>
    <w:rsid w:val="007E09A2"/>
    <w:rsid w:val="007E1B00"/>
    <w:rsid w:val="007E3086"/>
    <w:rsid w:val="007F55A7"/>
    <w:rsid w:val="00800370"/>
    <w:rsid w:val="00804206"/>
    <w:rsid w:val="00830E69"/>
    <w:rsid w:val="00886B3F"/>
    <w:rsid w:val="008A43BD"/>
    <w:rsid w:val="008A71A9"/>
    <w:rsid w:val="008B4E90"/>
    <w:rsid w:val="008B67FF"/>
    <w:rsid w:val="008C0752"/>
    <w:rsid w:val="008C7C74"/>
    <w:rsid w:val="008D7C05"/>
    <w:rsid w:val="009061DC"/>
    <w:rsid w:val="00911EA6"/>
    <w:rsid w:val="009238A5"/>
    <w:rsid w:val="0093268F"/>
    <w:rsid w:val="009338CB"/>
    <w:rsid w:val="00935579"/>
    <w:rsid w:val="00940BBE"/>
    <w:rsid w:val="009562F4"/>
    <w:rsid w:val="00971378"/>
    <w:rsid w:val="00972707"/>
    <w:rsid w:val="00973F9D"/>
    <w:rsid w:val="0097740F"/>
    <w:rsid w:val="00991063"/>
    <w:rsid w:val="009A199F"/>
    <w:rsid w:val="009B3FFE"/>
    <w:rsid w:val="009B6FDE"/>
    <w:rsid w:val="009C3F89"/>
    <w:rsid w:val="009D4786"/>
    <w:rsid w:val="009D6386"/>
    <w:rsid w:val="009E5571"/>
    <w:rsid w:val="00A1575D"/>
    <w:rsid w:val="00A168E4"/>
    <w:rsid w:val="00A21B0C"/>
    <w:rsid w:val="00A23081"/>
    <w:rsid w:val="00A50AB9"/>
    <w:rsid w:val="00A51007"/>
    <w:rsid w:val="00A71C44"/>
    <w:rsid w:val="00A76BB8"/>
    <w:rsid w:val="00A83757"/>
    <w:rsid w:val="00A9151F"/>
    <w:rsid w:val="00A97656"/>
    <w:rsid w:val="00AA1D88"/>
    <w:rsid w:val="00AC2A02"/>
    <w:rsid w:val="00AC6790"/>
    <w:rsid w:val="00AF2B27"/>
    <w:rsid w:val="00B11F36"/>
    <w:rsid w:val="00B22B3F"/>
    <w:rsid w:val="00B2558D"/>
    <w:rsid w:val="00B30FC0"/>
    <w:rsid w:val="00B65538"/>
    <w:rsid w:val="00B82B57"/>
    <w:rsid w:val="00B94D65"/>
    <w:rsid w:val="00B95CA3"/>
    <w:rsid w:val="00BE4CE5"/>
    <w:rsid w:val="00BF37E6"/>
    <w:rsid w:val="00C12B01"/>
    <w:rsid w:val="00C20336"/>
    <w:rsid w:val="00C45DF4"/>
    <w:rsid w:val="00C508EE"/>
    <w:rsid w:val="00C732BE"/>
    <w:rsid w:val="00C90277"/>
    <w:rsid w:val="00CB15E8"/>
    <w:rsid w:val="00CB430D"/>
    <w:rsid w:val="00CC5B83"/>
    <w:rsid w:val="00D21B0B"/>
    <w:rsid w:val="00D34F32"/>
    <w:rsid w:val="00D80A76"/>
    <w:rsid w:val="00D91740"/>
    <w:rsid w:val="00DC3667"/>
    <w:rsid w:val="00DD7251"/>
    <w:rsid w:val="00DF3F1D"/>
    <w:rsid w:val="00E0357F"/>
    <w:rsid w:val="00E21075"/>
    <w:rsid w:val="00E63C1E"/>
    <w:rsid w:val="00EB40DD"/>
    <w:rsid w:val="00EC0537"/>
    <w:rsid w:val="00EC56F9"/>
    <w:rsid w:val="00F06EA0"/>
    <w:rsid w:val="00F07D2F"/>
    <w:rsid w:val="00F120AD"/>
    <w:rsid w:val="00F15FF1"/>
    <w:rsid w:val="00F21D13"/>
    <w:rsid w:val="00F27893"/>
    <w:rsid w:val="00F47BDF"/>
    <w:rsid w:val="00F97575"/>
    <w:rsid w:val="00FA4847"/>
    <w:rsid w:val="00FB2A8C"/>
    <w:rsid w:val="00FC5D37"/>
    <w:rsid w:val="00FC7439"/>
    <w:rsid w:val="00FD3AB8"/>
    <w:rsid w:val="00FE2E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7D1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76BB8"/>
    <w:pPr>
      <w:spacing w:after="200" w:line="276" w:lineRule="auto"/>
      <w:jc w:val="both"/>
    </w:pPr>
    <w:rPr>
      <w:sz w:val="22"/>
      <w:szCs w:val="22"/>
      <w:lang w:eastAsia="en-US"/>
    </w:rPr>
  </w:style>
  <w:style w:type="paragraph" w:styleId="Nadpis1">
    <w:name w:val="heading 1"/>
    <w:basedOn w:val="Normln"/>
    <w:next w:val="Normln"/>
    <w:link w:val="Nadpis1Char"/>
    <w:uiPriority w:val="9"/>
    <w:qFormat/>
    <w:rsid w:val="00971378"/>
    <w:pPr>
      <w:keepNext/>
      <w:keepLines/>
      <w:spacing w:before="480" w:after="0"/>
      <w:outlineLvl w:val="0"/>
    </w:pPr>
    <w:rPr>
      <w:rFonts w:ascii="Myriad Pro" w:eastAsia="Times New Roman" w:hAnsi="Myriad Pro"/>
      <w:b/>
      <w:bCs/>
      <w:sz w:val="32"/>
      <w:szCs w:val="28"/>
      <w:lang w:val="x-none" w:eastAsia="x-none"/>
    </w:rPr>
  </w:style>
  <w:style w:type="paragraph" w:styleId="Nadpis2">
    <w:name w:val="heading 2"/>
    <w:basedOn w:val="Normln"/>
    <w:next w:val="Normln"/>
    <w:link w:val="Nadpis2Char"/>
    <w:uiPriority w:val="9"/>
    <w:unhideWhenUsed/>
    <w:qFormat/>
    <w:rsid w:val="003132BD"/>
    <w:pPr>
      <w:keepNext/>
      <w:spacing w:before="240" w:after="60"/>
      <w:outlineLvl w:val="1"/>
    </w:pPr>
    <w:rPr>
      <w:rFonts w:ascii="Myriad Pro" w:eastAsia="Times New Roman" w:hAnsi="Myriad Pro"/>
      <w:b/>
      <w:bCs/>
      <w:iCs/>
      <w:sz w:val="28"/>
      <w:szCs w:val="28"/>
    </w:rPr>
  </w:style>
  <w:style w:type="paragraph" w:styleId="Nadpis3">
    <w:name w:val="heading 3"/>
    <w:basedOn w:val="Normln"/>
    <w:next w:val="Normln"/>
    <w:link w:val="Nadpis3Char"/>
    <w:uiPriority w:val="9"/>
    <w:unhideWhenUsed/>
    <w:qFormat/>
    <w:rsid w:val="003132BD"/>
    <w:pPr>
      <w:keepNext/>
      <w:spacing w:before="240" w:after="60"/>
      <w:outlineLvl w:val="2"/>
    </w:pPr>
    <w:rPr>
      <w:rFonts w:ascii="Calibri Light" w:eastAsia="Times New Roman" w:hAnsi="Calibri Light"/>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F47BD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47BDF"/>
  </w:style>
  <w:style w:type="paragraph" w:styleId="Zpat">
    <w:name w:val="footer"/>
    <w:basedOn w:val="Normln"/>
    <w:link w:val="ZpatChar"/>
    <w:uiPriority w:val="99"/>
    <w:unhideWhenUsed/>
    <w:rsid w:val="00F47BDF"/>
    <w:pPr>
      <w:tabs>
        <w:tab w:val="center" w:pos="4536"/>
        <w:tab w:val="right" w:pos="9072"/>
      </w:tabs>
      <w:spacing w:after="0" w:line="240" w:lineRule="auto"/>
    </w:pPr>
  </w:style>
  <w:style w:type="character" w:customStyle="1" w:styleId="ZpatChar">
    <w:name w:val="Zápatí Char"/>
    <w:basedOn w:val="Standardnpsmoodstavce"/>
    <w:link w:val="Zpat"/>
    <w:uiPriority w:val="99"/>
    <w:rsid w:val="00F47BDF"/>
  </w:style>
  <w:style w:type="paragraph" w:styleId="Textbubliny">
    <w:name w:val="Balloon Text"/>
    <w:basedOn w:val="Normln"/>
    <w:link w:val="TextbublinyChar"/>
    <w:uiPriority w:val="99"/>
    <w:semiHidden/>
    <w:unhideWhenUsed/>
    <w:rsid w:val="00F47BDF"/>
    <w:pPr>
      <w:spacing w:after="0" w:line="240" w:lineRule="auto"/>
    </w:pPr>
    <w:rPr>
      <w:rFonts w:ascii="Tahoma" w:hAnsi="Tahoma"/>
      <w:sz w:val="16"/>
      <w:szCs w:val="16"/>
      <w:lang w:val="x-none" w:eastAsia="x-none"/>
    </w:rPr>
  </w:style>
  <w:style w:type="character" w:customStyle="1" w:styleId="TextbublinyChar">
    <w:name w:val="Text bubliny Char"/>
    <w:link w:val="Textbubliny"/>
    <w:uiPriority w:val="99"/>
    <w:semiHidden/>
    <w:rsid w:val="00F47BDF"/>
    <w:rPr>
      <w:rFonts w:ascii="Tahoma" w:hAnsi="Tahoma" w:cs="Tahoma"/>
      <w:sz w:val="16"/>
      <w:szCs w:val="16"/>
    </w:rPr>
  </w:style>
  <w:style w:type="character" w:customStyle="1" w:styleId="Nadpis1Char">
    <w:name w:val="Nadpis 1 Char"/>
    <w:link w:val="Nadpis1"/>
    <w:uiPriority w:val="9"/>
    <w:rsid w:val="00971378"/>
    <w:rPr>
      <w:rFonts w:ascii="Myriad Pro" w:eastAsia="Times New Roman" w:hAnsi="Myriad Pro"/>
      <w:b/>
      <w:bCs/>
      <w:sz w:val="32"/>
      <w:szCs w:val="28"/>
      <w:lang w:val="x-none" w:eastAsia="x-none"/>
    </w:rPr>
  </w:style>
  <w:style w:type="character" w:styleId="Zstupntext">
    <w:name w:val="Placeholder Text"/>
    <w:uiPriority w:val="99"/>
    <w:semiHidden/>
    <w:rsid w:val="00635E47"/>
    <w:rPr>
      <w:color w:val="808080"/>
    </w:rPr>
  </w:style>
  <w:style w:type="paragraph" w:styleId="Normlnweb">
    <w:name w:val="Normal (Web)"/>
    <w:basedOn w:val="Normln"/>
    <w:uiPriority w:val="99"/>
    <w:semiHidden/>
    <w:unhideWhenUsed/>
    <w:rsid w:val="00AC6790"/>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TUL2011">
    <w:name w:val="TUL2011"/>
    <w:basedOn w:val="Normln"/>
    <w:next w:val="Normln"/>
    <w:link w:val="TUL2011Char"/>
    <w:rsid w:val="0054513A"/>
    <w:rPr>
      <w:rFonts w:ascii="Myriad Pro" w:hAnsi="Myriad Pro"/>
      <w:sz w:val="20"/>
      <w:lang w:val="x-none"/>
    </w:rPr>
  </w:style>
  <w:style w:type="paragraph" w:customStyle="1" w:styleId="Default">
    <w:name w:val="Default"/>
    <w:rsid w:val="00A21B0C"/>
    <w:pPr>
      <w:autoSpaceDE w:val="0"/>
      <w:autoSpaceDN w:val="0"/>
      <w:adjustRightInd w:val="0"/>
    </w:pPr>
    <w:rPr>
      <w:rFonts w:ascii="Myriad Pro" w:hAnsi="Myriad Pro" w:cs="Myriad Pro"/>
      <w:color w:val="000000"/>
      <w:sz w:val="24"/>
      <w:szCs w:val="24"/>
    </w:rPr>
  </w:style>
  <w:style w:type="character" w:customStyle="1" w:styleId="TUL2011Char">
    <w:name w:val="TUL2011 Char"/>
    <w:link w:val="TUL2011"/>
    <w:rsid w:val="0054513A"/>
    <w:rPr>
      <w:rFonts w:ascii="Myriad Pro" w:eastAsia="Calibri" w:hAnsi="Myriad Pro" w:cs="Times New Roman"/>
      <w:szCs w:val="22"/>
      <w:lang w:eastAsia="en-US"/>
    </w:rPr>
  </w:style>
  <w:style w:type="character" w:customStyle="1" w:styleId="Nadpis2Char">
    <w:name w:val="Nadpis 2 Char"/>
    <w:link w:val="Nadpis2"/>
    <w:uiPriority w:val="9"/>
    <w:rsid w:val="003132BD"/>
    <w:rPr>
      <w:rFonts w:ascii="Myriad Pro" w:eastAsia="Times New Roman" w:hAnsi="Myriad Pro"/>
      <w:b/>
      <w:bCs/>
      <w:iCs/>
      <w:sz w:val="28"/>
      <w:szCs w:val="28"/>
      <w:lang w:eastAsia="en-US"/>
    </w:rPr>
  </w:style>
  <w:style w:type="character" w:customStyle="1" w:styleId="Nadpis3Char">
    <w:name w:val="Nadpis 3 Char"/>
    <w:link w:val="Nadpis3"/>
    <w:uiPriority w:val="9"/>
    <w:rsid w:val="003132BD"/>
    <w:rPr>
      <w:rFonts w:ascii="Calibri Light" w:eastAsia="Times New Roman" w:hAnsi="Calibri Light" w:cs="Times New Roman"/>
      <w:b/>
      <w:bCs/>
      <w:sz w:val="26"/>
      <w:szCs w:val="26"/>
      <w:lang w:eastAsia="en-US"/>
    </w:rPr>
  </w:style>
  <w:style w:type="paragraph" w:styleId="Textpoznpodarou">
    <w:name w:val="footnote text"/>
    <w:basedOn w:val="Normln"/>
    <w:link w:val="TextpoznpodarouChar"/>
    <w:uiPriority w:val="99"/>
    <w:semiHidden/>
    <w:unhideWhenUsed/>
    <w:rsid w:val="0045365F"/>
    <w:rPr>
      <w:sz w:val="20"/>
      <w:szCs w:val="20"/>
    </w:rPr>
  </w:style>
  <w:style w:type="character" w:customStyle="1" w:styleId="TextpoznpodarouChar">
    <w:name w:val="Text pozn. pod čarou Char"/>
    <w:link w:val="Textpoznpodarou"/>
    <w:uiPriority w:val="99"/>
    <w:semiHidden/>
    <w:rsid w:val="0045365F"/>
    <w:rPr>
      <w:lang w:eastAsia="en-US"/>
    </w:rPr>
  </w:style>
  <w:style w:type="character" w:styleId="Znakapoznpodarou">
    <w:name w:val="footnote reference"/>
    <w:uiPriority w:val="99"/>
    <w:semiHidden/>
    <w:unhideWhenUsed/>
    <w:rsid w:val="0045365F"/>
    <w:rPr>
      <w:vertAlign w:val="superscript"/>
    </w:rPr>
  </w:style>
  <w:style w:type="table" w:styleId="Mkatabulky">
    <w:name w:val="Table Grid"/>
    <w:basedOn w:val="Normlntabulka"/>
    <w:uiPriority w:val="59"/>
    <w:rsid w:val="00DC3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2">
    <w:name w:val="Grid Table 4 Accent 2"/>
    <w:basedOn w:val="Normlntabulka"/>
    <w:uiPriority w:val="49"/>
    <w:rsid w:val="00DC366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bulkagang">
    <w:name w:val="tabulka gang"/>
    <w:basedOn w:val="Normln"/>
    <w:qFormat/>
    <w:rsid w:val="00DC3667"/>
    <w:pPr>
      <w:spacing w:before="120" w:after="120" w:line="240" w:lineRule="auto"/>
    </w:pPr>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3937">
      <w:bodyDiv w:val="1"/>
      <w:marLeft w:val="0"/>
      <w:marRight w:val="0"/>
      <w:marTop w:val="0"/>
      <w:marBottom w:val="0"/>
      <w:divBdr>
        <w:top w:val="none" w:sz="0" w:space="0" w:color="auto"/>
        <w:left w:val="none" w:sz="0" w:space="0" w:color="auto"/>
        <w:bottom w:val="none" w:sz="0" w:space="0" w:color="auto"/>
        <w:right w:val="none" w:sz="0" w:space="0" w:color="auto"/>
      </w:divBdr>
    </w:div>
    <w:div w:id="1285383513">
      <w:bodyDiv w:val="1"/>
      <w:marLeft w:val="0"/>
      <w:marRight w:val="0"/>
      <w:marTop w:val="0"/>
      <w:marBottom w:val="0"/>
      <w:divBdr>
        <w:top w:val="none" w:sz="0" w:space="0" w:color="auto"/>
        <w:left w:val="none" w:sz="0" w:space="0" w:color="auto"/>
        <w:bottom w:val="none" w:sz="0" w:space="0" w:color="auto"/>
        <w:right w:val="none" w:sz="0" w:space="0" w:color="auto"/>
      </w:divBdr>
    </w:div>
    <w:div w:id="13048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352;kola\PST\Protokoly\elaborat-sablona.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1D795-6780-4CD5-B8A3-1D3B227E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elaborat-sablona.dot</Template>
  <TotalTime>0</TotalTime>
  <Pages>5</Pages>
  <Words>488</Words>
  <Characters>2885</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TULšablonaWORD2011</vt:lpstr>
    </vt:vector>
  </TitlesOfParts>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TULšablonaWORD2011</dc:title>
  <dc:subject/>
  <dc:creator/>
  <cp:keywords/>
  <cp:lastModifiedBy/>
  <cp:revision>1</cp:revision>
  <dcterms:created xsi:type="dcterms:W3CDTF">2022-03-07T10:00:00Z</dcterms:created>
  <dcterms:modified xsi:type="dcterms:W3CDTF">2022-05-10T15:10:00Z</dcterms:modified>
</cp:coreProperties>
</file>