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B4F" w:rsidRPr="00271B4F" w:rsidRDefault="00271B4F" w:rsidP="00271B4F">
      <w:pPr>
        <w:jc w:val="center"/>
        <w:rPr>
          <w:rStyle w:val="BookTitle"/>
          <w:sz w:val="36"/>
          <w:szCs w:val="36"/>
        </w:rPr>
      </w:pPr>
      <w:bookmarkStart w:id="0" w:name="_GoBack"/>
      <w:bookmarkEnd w:id="0"/>
      <w:r w:rsidRPr="00271B4F">
        <w:rPr>
          <w:rStyle w:val="BookTitle"/>
          <w:sz w:val="36"/>
          <w:szCs w:val="36"/>
        </w:rPr>
        <w:t>RIF - Statisti</w:t>
      </w:r>
      <w:r>
        <w:rPr>
          <w:rStyle w:val="BookTitle"/>
          <w:sz w:val="36"/>
          <w:szCs w:val="36"/>
        </w:rPr>
        <w:t>cal M</w:t>
      </w:r>
      <w:r w:rsidRPr="00271B4F">
        <w:rPr>
          <w:rStyle w:val="BookTitle"/>
          <w:sz w:val="36"/>
          <w:szCs w:val="36"/>
        </w:rPr>
        <w:t>anual</w:t>
      </w:r>
    </w:p>
    <w:p w:rsidR="00271B4F" w:rsidRDefault="00271B4F" w:rsidP="00271B4F">
      <w:pPr>
        <w:spacing w:after="0"/>
        <w:rPr>
          <w:b/>
          <w:i/>
        </w:rPr>
      </w:pPr>
      <w:r>
        <w:rPr>
          <w:b/>
          <w:i/>
        </w:rPr>
        <w:t>Disease mapping</w:t>
      </w:r>
    </w:p>
    <w:p w:rsidR="00641065" w:rsidRDefault="00EC2987" w:rsidP="00D77BE7">
      <w:pPr>
        <w:jc w:val="both"/>
      </w:pPr>
      <w:r>
        <w:t>Disease maps aim</w:t>
      </w:r>
      <w:r w:rsidR="007F5B0C">
        <w:t xml:space="preserve"> at representing the geographical distribution of the incidence of disease. In the frame of the </w:t>
      </w:r>
      <w:proofErr w:type="gramStart"/>
      <w:r w:rsidR="007F5B0C">
        <w:t>RIF</w:t>
      </w:r>
      <w:proofErr w:type="gramEnd"/>
      <w:r w:rsidR="007F5B0C">
        <w:t xml:space="preserve"> software, only maps produced with counts data are considered. Counts of disease cases are reported for a list of </w:t>
      </w:r>
      <w:r>
        <w:t xml:space="preserve">regions, denoted here </w:t>
      </w:r>
      <w:r w:rsidR="007F5B0C">
        <w:t>areas</w:t>
      </w:r>
      <w:r>
        <w:t>, and delimited by geographical boundaries</w:t>
      </w:r>
      <w:r w:rsidR="007F5B0C">
        <w:t>. The easiest way to map the geographical variations of the disease would be to directly map the count</w:t>
      </w:r>
      <w:r w:rsidR="00735A8A">
        <w:t>s. However, these counts depend</w:t>
      </w:r>
      <w:r w:rsidR="007F5B0C">
        <w:t xml:space="preserve"> strongly of the structure of the population </w:t>
      </w:r>
      <w:r w:rsidR="00F33E44">
        <w:t xml:space="preserve">at risk </w:t>
      </w:r>
      <w:r w:rsidR="007F5B0C">
        <w:t xml:space="preserve">within each area, and cannot be </w:t>
      </w:r>
      <w:r>
        <w:t xml:space="preserve">directly </w:t>
      </w:r>
      <w:r w:rsidR="007F5B0C">
        <w:t xml:space="preserve">compared. </w:t>
      </w:r>
      <w:r w:rsidR="00735A8A">
        <w:t>Two variables are thus considered to exclude the effect of populations, the directly standardiz</w:t>
      </w:r>
      <w:r w:rsidR="00123D24">
        <w:t>ed rates and the relative risk. These two variables demand the definition of a ‘comparison’ population associated to each area. The comparison population ma</w:t>
      </w:r>
      <w:r>
        <w:t xml:space="preserve">y be the total population of all study areas, or subsets of study areas. </w:t>
      </w:r>
    </w:p>
    <w:p w:rsidR="00EC2987" w:rsidRDefault="00EC2987" w:rsidP="00EC2987">
      <w:pPr>
        <w:spacing w:after="0"/>
        <w:rPr>
          <w:b/>
          <w:i/>
        </w:rPr>
      </w:pPr>
      <w:r w:rsidRPr="00EC2987">
        <w:rPr>
          <w:b/>
          <w:i/>
        </w:rPr>
        <w:t>Directly standardised rates</w:t>
      </w:r>
    </w:p>
    <w:p w:rsidR="00641065" w:rsidRDefault="001500F3" w:rsidP="00D77BE7">
      <w:pPr>
        <w:jc w:val="both"/>
      </w:pPr>
      <w:r>
        <w:t xml:space="preserve">Rates of disease are calculated by dividing the number of observed cases by the underlying populations at risk. However, because this variable does not take into account the age and sex structure of the population, rates between different areas cannot be compared. </w:t>
      </w:r>
    </w:p>
    <w:p w:rsidR="0081241C" w:rsidRDefault="00507E6E" w:rsidP="00D77BE7">
      <w:pPr>
        <w:jc w:val="both"/>
      </w:pPr>
      <w:r>
        <w:t>The directly standardis</w:t>
      </w:r>
      <w:r w:rsidR="001500F3">
        <w:t xml:space="preserve">ed rates </w:t>
      </w:r>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oMath>
      <w:r w:rsidR="0081241C">
        <w:rPr>
          <w:rFonts w:eastAsiaTheme="minorEastAsia"/>
        </w:rPr>
        <w:t xml:space="preserve"> </w:t>
      </w:r>
      <w:r w:rsidR="001500F3">
        <w:t>are calculated by applying to the comparison populations</w:t>
      </w:r>
      <w:r w:rsidR="0081241C">
        <w:t xml:space="preserve"> the rates</w:t>
      </w:r>
      <w:r w:rsidR="001500F3">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1241C">
        <w:rPr>
          <w:rFonts w:eastAsiaTheme="minorEastAsia"/>
        </w:rPr>
        <w:t xml:space="preserve"> </w:t>
      </w:r>
      <w:r w:rsidR="001500F3">
        <w:t xml:space="preserve">of the disease in each age and sex strata </w:t>
      </w:r>
      <m:oMath>
        <m:r>
          <w:rPr>
            <w:rFonts w:ascii="Cambria Math" w:hAnsi="Cambria Math"/>
          </w:rPr>
          <m:t>j</m:t>
        </m:r>
      </m:oMath>
      <w:r w:rsidR="0081241C">
        <w:rPr>
          <w:rFonts w:eastAsiaTheme="minorEastAsia"/>
        </w:rPr>
        <w:t xml:space="preserve"> </w:t>
      </w:r>
      <w:r w:rsidR="00F33E44">
        <w:t xml:space="preserve">of the corresponding study </w:t>
      </w:r>
      <w:proofErr w:type="gramStart"/>
      <w:r w:rsidR="00F33E44">
        <w:t>area</w:t>
      </w:r>
      <w:r w:rsidR="0081241C">
        <w:t xml:space="preserve"> </w:t>
      </w:r>
      <w:proofErr w:type="gramEnd"/>
      <m:oMath>
        <m:r>
          <w:rPr>
            <w:rFonts w:ascii="Cambria Math" w:hAnsi="Cambria Math"/>
          </w:rPr>
          <m:t>i</m:t>
        </m:r>
      </m:oMath>
      <w:r w:rsidR="001500F3">
        <w:t>.</w:t>
      </w:r>
      <w:r w:rsidR="0081241C">
        <w:t xml:space="preserve"> Thus </w:t>
      </w:r>
    </w:p>
    <w:p w:rsidR="0081241C" w:rsidRPr="0081241C" w:rsidRDefault="0081241C" w:rsidP="00D77BE7">
      <w:pPr>
        <w:jc w:val="both"/>
        <w:rPr>
          <w:rFonts w:eastAsiaTheme="minorEastAsia"/>
        </w:rPr>
      </w:pPr>
      <m:oMathPara>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ij</m:t>
                      </m:r>
                    </m:sub>
                  </m:sSub>
                </m:e>
              </m:nary>
            </m:num>
            <m:den>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e>
              </m:nary>
            </m:den>
          </m:f>
          <m:r>
            <w:rPr>
              <w:rFonts w:ascii="Cambria Math" w:hAnsi="Cambria Math"/>
            </w:rPr>
            <m:t>×100,000,</m:t>
          </m:r>
        </m:oMath>
      </m:oMathPara>
    </w:p>
    <w:p w:rsidR="001500F3" w:rsidRDefault="0081241C" w:rsidP="00D77BE7">
      <w:pPr>
        <w:jc w:val="both"/>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F33E44">
        <w:rPr>
          <w:rFonts w:eastAsiaTheme="minorEastAsia"/>
        </w:rPr>
        <w:t xml:space="preserve"> is the population</w:t>
      </w:r>
      <w:r>
        <w:rPr>
          <w:rFonts w:eastAsiaTheme="minorEastAsia"/>
        </w:rPr>
        <w:t xml:space="preserve">–years at risk in age/sex strata </w:t>
      </w:r>
      <m:oMath>
        <m:r>
          <w:rPr>
            <w:rFonts w:ascii="Cambria Math" w:eastAsiaTheme="minorEastAsia" w:hAnsi="Cambria Math"/>
          </w:rPr>
          <m:t>j</m:t>
        </m:r>
      </m:oMath>
      <w:r>
        <w:rPr>
          <w:rFonts w:eastAsiaTheme="minorEastAsia"/>
        </w:rPr>
        <w:t xml:space="preserve"> in the comparison population. The rate is multiplied by </w:t>
      </w:r>
      <m:oMath>
        <m:r>
          <w:rPr>
            <w:rFonts w:ascii="Cambria Math" w:eastAsiaTheme="minorEastAsia" w:hAnsi="Cambria Math"/>
          </w:rPr>
          <m:t xml:space="preserve">100,000 </m:t>
        </m:r>
      </m:oMath>
      <w:r>
        <w:rPr>
          <w:rFonts w:eastAsiaTheme="minorEastAsia"/>
        </w:rPr>
        <w:t xml:space="preserve">to obtain a rate per </w:t>
      </w:r>
      <m:oMath>
        <m:r>
          <w:rPr>
            <w:rFonts w:ascii="Cambria Math" w:eastAsiaTheme="minorEastAsia" w:hAnsi="Cambria Math"/>
          </w:rPr>
          <m:t>100,000</m:t>
        </m:r>
      </m:oMath>
      <w:r>
        <w:rPr>
          <w:rFonts w:eastAsiaTheme="minorEastAsia"/>
        </w:rPr>
        <w:t xml:space="preserve"> person years. </w:t>
      </w:r>
      <w:r>
        <w:t>D</w:t>
      </w:r>
      <w:r w:rsidR="001500F3">
        <w:t>irectly standardised rates of several a</w:t>
      </w:r>
      <w:r w:rsidR="00F33E44">
        <w:t xml:space="preserve">reas </w:t>
      </w:r>
      <w:r>
        <w:t xml:space="preserve">can be directly compared because they are calculated for the same standard population (the comparison population). </w:t>
      </w:r>
    </w:p>
    <w:p w:rsidR="001500F3" w:rsidRDefault="00507E6E" w:rsidP="00F33E44">
      <w:pPr>
        <w:jc w:val="both"/>
        <w:rPr>
          <w:rFonts w:eastAsiaTheme="minorEastAsia"/>
        </w:rPr>
      </w:pPr>
      <w:r>
        <w:t>95% confidence intervals</w:t>
      </w:r>
      <w:r w:rsidR="0081241C">
        <w:t xml:space="preserve"> (95% CI)</w:t>
      </w:r>
      <w:r>
        <w:t xml:space="preserve"> indicate the degree of uncertainty in the estimation </w:t>
      </w:r>
      <w:proofErr w:type="gramStart"/>
      <w:r>
        <w:t xml:space="preserve">of </w:t>
      </w:r>
      <w:proofErr w:type="gramEnd"/>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00F33E44">
        <w:rPr>
          <w:rFonts w:eastAsiaTheme="minorEastAsia"/>
        </w:rPr>
        <w:t>Assuming</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m:t>
            </m:r>
          </m:sub>
        </m:sSub>
      </m:oMath>
      <w:r>
        <w:rPr>
          <w:rFonts w:eastAsiaTheme="minorEastAsia"/>
        </w:rPr>
        <w:t xml:space="preserve"> the number of cases in strata </w:t>
      </w:r>
      <m:oMath>
        <m:r>
          <w:rPr>
            <w:rFonts w:ascii="Cambria Math" w:eastAsiaTheme="minorEastAsia" w:hAnsi="Cambria Math"/>
          </w:rPr>
          <m:t>j</m:t>
        </m:r>
      </m:oMath>
      <w:r>
        <w:rPr>
          <w:rFonts w:eastAsiaTheme="minorEastAsia"/>
        </w:rPr>
        <w:t xml:space="preserve"> and area </w:t>
      </w:r>
      <m:oMath>
        <m:r>
          <w:rPr>
            <w:rFonts w:ascii="Cambria Math" w:eastAsiaTheme="minorEastAsia" w:hAnsi="Cambria Math"/>
          </w:rPr>
          <m:t>i</m:t>
        </m:r>
      </m:oMath>
      <w:r>
        <w:rPr>
          <w:rFonts w:eastAsiaTheme="minorEastAsia"/>
        </w:rPr>
        <w:t xml:space="preserve"> follow a Poisson distribution, the directly standardised rates are weighted sums of Poisson variables: </w:t>
      </w:r>
    </w:p>
    <w:p w:rsidR="00507E6E" w:rsidRDefault="00507E6E" w:rsidP="00BA6D27">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e>
              </m:nary>
            </m:den>
          </m:f>
          <m:r>
            <w:rPr>
              <w:rFonts w:ascii="Cambria Math" w:hAnsi="Cambria Math"/>
            </w:rPr>
            <m:t>×100,000×</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ij</m:t>
                      </m:r>
                    </m:sub>
                  </m:sSub>
                </m:den>
              </m:f>
              <m:sSub>
                <m:sSubPr>
                  <m:ctrlPr>
                    <w:rPr>
                      <w:rFonts w:ascii="Cambria Math" w:hAnsi="Cambria Math"/>
                      <w:i/>
                    </w:rPr>
                  </m:ctrlPr>
                </m:sSubPr>
                <m:e>
                  <m:r>
                    <w:rPr>
                      <w:rFonts w:ascii="Cambria Math" w:hAnsi="Cambria Math"/>
                    </w:rPr>
                    <m:t>O</m:t>
                  </m:r>
                </m:e>
                <m:sub>
                  <m:r>
                    <w:rPr>
                      <w:rFonts w:ascii="Cambria Math" w:hAnsi="Cambria Math"/>
                    </w:rPr>
                    <m:t>ij</m:t>
                  </m:r>
                </m:sub>
              </m:sSub>
            </m:e>
          </m:nary>
        </m:oMath>
      </m:oMathPara>
    </w:p>
    <w:p w:rsidR="00507E6E" w:rsidRPr="00847D9A" w:rsidRDefault="00507E6E" w:rsidP="00507E6E">
      <w:pPr>
        <w:pStyle w:val="ListParagraph"/>
        <w:numPr>
          <w:ilvl w:val="0"/>
          <w:numId w:val="9"/>
        </w:numPr>
      </w:pPr>
      <w:proofErr w:type="gramStart"/>
      <w:r>
        <w:t xml:space="preserve">If </w:t>
      </w:r>
      <w:proofErr w:type="gramEnd"/>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ij</m:t>
                </m:r>
              </m:sub>
            </m:sSub>
          </m:e>
        </m:nary>
        <m:r>
          <w:rPr>
            <w:rFonts w:ascii="Cambria Math" w:hAnsi="Cambria Math"/>
          </w:rPr>
          <m:t xml:space="preserve">&gt;100 </m:t>
        </m:r>
      </m:oMath>
      <w:r w:rsidR="00847D9A">
        <w:rPr>
          <w:rFonts w:eastAsiaTheme="minorEastAsia"/>
        </w:rPr>
        <w:t xml:space="preserve">, a Gaussian approximation of </w:t>
      </w:r>
      <m:oMath>
        <m:r>
          <m:rPr>
            <m:sty m:val="p"/>
          </m:rPr>
          <w:rPr>
            <w:rFonts w:ascii="Cambria Math" w:eastAsiaTheme="minorEastAsia" w:hAnsi="Cambria Math"/>
          </w:rPr>
          <m:t>log⁡</m:t>
        </m:r>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w:r w:rsidR="00847D9A">
        <w:rPr>
          <w:rFonts w:eastAsiaTheme="minorEastAsia"/>
        </w:rPr>
        <w:t xml:space="preserve"> is done. Then, </w:t>
      </w:r>
    </w:p>
    <w:p w:rsidR="00847D9A" w:rsidRPr="001D6DA4" w:rsidRDefault="00847D9A" w:rsidP="00847D9A">
      <w:pPr>
        <w:pStyle w:val="ListParagraph"/>
        <w:numPr>
          <w:ilvl w:val="1"/>
          <w:numId w:val="9"/>
        </w:numPr>
      </w:pPr>
      <w:r>
        <w:rPr>
          <w:rFonts w:eastAsiaTheme="minorEastAsia"/>
        </w:rPr>
        <w:t xml:space="preserve">the lower 95% CI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m:rPr>
                <m:sty m:val="p"/>
              </m:rPr>
              <w:rPr>
                <w:rFonts w:ascii="Cambria Math" w:eastAsiaTheme="minorEastAsia" w:hAnsi="Cambria Math"/>
              </w:rPr>
              <m:t>exp⁡</m:t>
            </m:r>
            <m:r>
              <w:rPr>
                <w:rFonts w:ascii="Cambria Math" w:eastAsiaTheme="minorEastAsia" w:hAnsi="Cambria Math"/>
              </w:rPr>
              <m:t>(1.96SE(</m:t>
            </m:r>
            <m:r>
              <m:rPr>
                <m:sty m:val="p"/>
              </m:rPr>
              <w:rPr>
                <w:rFonts w:ascii="Cambria Math" w:eastAsiaTheme="minorEastAsia" w:hAnsi="Cambria Math"/>
              </w:rPr>
              <m:t>log⁡</m:t>
            </m:r>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den>
        </m:f>
      </m:oMath>
    </w:p>
    <w:p w:rsidR="00847D9A" w:rsidRPr="00847D9A" w:rsidRDefault="00847D9A" w:rsidP="00847D9A">
      <w:pPr>
        <w:pStyle w:val="ListParagraph"/>
        <w:numPr>
          <w:ilvl w:val="1"/>
          <w:numId w:val="9"/>
        </w:numPr>
        <w:rPr>
          <w:rFonts w:eastAsiaTheme="minorEastAsia"/>
        </w:rPr>
      </w:pPr>
      <w:r>
        <w:rPr>
          <w:rFonts w:eastAsiaTheme="minorEastAsia"/>
        </w:rPr>
        <w:t xml:space="preserve">the upper 95% CI </w:t>
      </w:r>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1.96SE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d>
              </m:e>
            </m:d>
          </m:e>
        </m:func>
      </m:oMath>
    </w:p>
    <w:p w:rsidR="00847D9A" w:rsidRPr="00847D9A" w:rsidRDefault="00847D9A" w:rsidP="00847D9A">
      <w:pPr>
        <w:pStyle w:val="ListParagraph"/>
        <w:ind w:left="144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SE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d>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nary>
              </m:e>
            </m:rad>
          </m:num>
          <m:den>
            <m:nary>
              <m:naryPr>
                <m:chr m:val="∑"/>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nary>
          </m:den>
        </m:f>
      </m:oMath>
      <w:r>
        <w:rPr>
          <w:rFonts w:eastAsiaTheme="minorEastAsia"/>
        </w:rPr>
        <w:t xml:space="preserve"> is an estimate of the standard deviation of the log directly standardised rate. </w:t>
      </w:r>
    </w:p>
    <w:p w:rsidR="00847D9A" w:rsidRPr="00147789" w:rsidRDefault="003B248C" w:rsidP="00507E6E">
      <w:pPr>
        <w:pStyle w:val="ListParagraph"/>
        <w:numPr>
          <w:ilvl w:val="0"/>
          <w:numId w:val="9"/>
        </w:numPr>
      </w:pPr>
      <w:r>
        <w:t xml:space="preserve">If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≤100</m:t>
            </m:r>
          </m:e>
        </m:nary>
      </m:oMath>
      <w:r w:rsidR="00F33E44">
        <w:rPr>
          <w:rFonts w:eastAsiaTheme="minorEastAsia"/>
        </w:rPr>
        <w:t xml:space="preserve">, 95% CI are obtained with </w:t>
      </w:r>
      <w:r>
        <w:rPr>
          <w:rFonts w:eastAsiaTheme="minorEastAsia"/>
        </w:rPr>
        <w:t xml:space="preserve">the formula by </w:t>
      </w:r>
      <w:r>
        <w:rPr>
          <w:rFonts w:eastAsiaTheme="minorEastAsia"/>
        </w:rPr>
        <w:fldChar w:fldCharType="begin"/>
      </w:r>
      <w:r>
        <w:rPr>
          <w:rFonts w:eastAsiaTheme="minorEastAsia"/>
        </w:rPr>
        <w:instrText xml:space="preserve"> ADDIN ZOTERO_ITEM CSL_CITATION {"citationID":"uFabIRjd","properties":{"formattedCitation":"(Dobson et al. 1991)","plainCitation":"(Dobson et al. 1991)"},"citationItems":[{"id":92,"uris":["http://zotero.org/users/local/JzaK2LEN/items/FBX737AA"],"uri":["http://zotero.org/users/local/JzaK2LEN/items/FBX737AA"],"itemData":{"id":92,"type":"article-journal","title":"Confidence intervals for weighted sums of Poisson parameters","container-title":"Statistics in Medicine","page":"457-462","volume":"10","issue":"3","source":"NCBI PubMed","abstract":"Directly standardized mortality rates are examples of weighted sums of Poisson rate parameters. If the numbers of events are large then normal approximations can be used to calculate confidence intervals, but these are inadequate if the numbers are small. We present a method for obtaining approximate confidence limits for the weighted sum of Poisson parameters as linear functions of the confidence limits for a single Poisson parameter, the unweighted sum. The location and length of the proposed interval depend on the method used to obtain confidence limits for the single parameter. Therefore several methods for obtaining confidence intervals for a single Poisson parameter are compared. For single parameters and for weighted sums of parameters, simulation suggests that the coverage of the proposed intervals is close to the nominal confidence levels. The method is illustrated using data on rates of myocardial infarction obtained as part of the WHO MONICA Project in Augsburg, Federal Republic of Germany.","ISSN":"0277-6715","note":"PMID: 2028128","journalAbbreviation":"Stat Med","language":"eng","author":[{"family":"Dobson","given":"A. J."},{"family":"Kuulasmaa","given":"K."},{"family":"Eberle","given":"E."},{"family":"Scherer","given":"J."}],"issued":{"date-parts":[["1991",3]]},"PMID":"2028128"}}],"schema":"https://github.com/citation-style-language/schema/raw/master/csl-citation.json"} </w:instrText>
      </w:r>
      <w:r>
        <w:rPr>
          <w:rFonts w:eastAsiaTheme="minorEastAsia"/>
        </w:rPr>
        <w:fldChar w:fldCharType="separate"/>
      </w:r>
      <w:r w:rsidRPr="003B248C">
        <w:rPr>
          <w:rFonts w:ascii="Calibri" w:hAnsi="Calibri" w:cs="Calibri"/>
        </w:rPr>
        <w:t xml:space="preserve">Dobson et al. </w:t>
      </w:r>
      <w:r>
        <w:rPr>
          <w:rFonts w:ascii="Calibri" w:hAnsi="Calibri" w:cs="Calibri"/>
        </w:rPr>
        <w:t>(</w:t>
      </w:r>
      <w:r w:rsidRPr="003B248C">
        <w:rPr>
          <w:rFonts w:ascii="Calibri" w:hAnsi="Calibri" w:cs="Calibri"/>
        </w:rPr>
        <w:t>1991)</w:t>
      </w:r>
      <w:r>
        <w:rPr>
          <w:rFonts w:eastAsiaTheme="minorEastAsia"/>
        </w:rPr>
        <w:fldChar w:fldCharType="end"/>
      </w:r>
      <w:r>
        <w:rPr>
          <w:rFonts w:eastAsiaTheme="minorEastAsia"/>
        </w:rPr>
        <w:t xml:space="preserve"> for weighted sums of Poisson parameters.</w:t>
      </w:r>
    </w:p>
    <w:p w:rsidR="00147789" w:rsidRPr="00147789" w:rsidRDefault="00147789" w:rsidP="00147789">
      <w:pPr>
        <w:pStyle w:val="ListParagraph"/>
        <w:numPr>
          <w:ilvl w:val="1"/>
          <w:numId w:val="9"/>
        </w:numPr>
        <w:rPr>
          <w:rFonts w:eastAsiaTheme="minorEastAsia"/>
        </w:rPr>
      </w:pPr>
      <w:r>
        <w:rPr>
          <w:rFonts w:eastAsiaTheme="minorEastAsia"/>
        </w:rPr>
        <w:lastRenderedPageBreak/>
        <w:t>Lower 95% CI</w:t>
      </w:r>
      <m:oMath>
        <m:r>
          <w:rPr>
            <w:rFonts w:ascii="Cambria Math" w:eastAsiaTheme="minorEastAsia" w:hAnsi="Cambria Math"/>
          </w:rPr>
          <m:t xml:space="preserve"> =DS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SE</m:t>
                </m:r>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d>
      </m:oMath>
    </w:p>
    <w:p w:rsidR="00147789" w:rsidRPr="00147789" w:rsidRDefault="00147789" w:rsidP="00147789">
      <w:pPr>
        <w:pStyle w:val="ListParagraph"/>
        <w:numPr>
          <w:ilvl w:val="1"/>
          <w:numId w:val="9"/>
        </w:numPr>
        <w:rPr>
          <w:rFonts w:eastAsiaTheme="minorEastAsia"/>
          <w:lang w:val="fr-FR"/>
        </w:rPr>
      </w:pPr>
      <w:proofErr w:type="spellStart"/>
      <w:r w:rsidRPr="00147789">
        <w:rPr>
          <w:rFonts w:eastAsiaTheme="minorEastAsia"/>
          <w:lang w:val="fr-FR"/>
        </w:rPr>
        <w:t>Upper</w:t>
      </w:r>
      <w:proofErr w:type="spellEnd"/>
      <w:r w:rsidRPr="00147789">
        <w:rPr>
          <w:rFonts w:eastAsiaTheme="minorEastAsia"/>
          <w:lang w:val="fr-FR"/>
        </w:rPr>
        <w:t xml:space="preserve"> 95% CI </w:t>
      </w:r>
      <m:oMath>
        <m:r>
          <w:rPr>
            <w:rFonts w:ascii="Cambria Math" w:eastAsiaTheme="minorEastAsia" w:hAnsi="Cambria Math"/>
            <w:lang w:val="fr-FR"/>
          </w:rPr>
          <m:t>=</m:t>
        </m:r>
        <m:r>
          <w:rPr>
            <w:rFonts w:ascii="Cambria Math" w:eastAsiaTheme="minorEastAsia" w:hAnsi="Cambria Math"/>
          </w:rPr>
          <m:t>DR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lang w:val="fr-FR"/>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SE</m:t>
                </m:r>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den>
            </m:f>
            <m:r>
              <w:rPr>
                <w:rFonts w:ascii="Cambria Math" w:eastAsiaTheme="minorEastAsia" w:hAnsi="Cambria Math"/>
                <w:lang w:val="fr-FR"/>
              </w:rPr>
              <m:t>×</m:t>
            </m:r>
            <m:d>
              <m:dPr>
                <m:ctrlPr>
                  <w:rPr>
                    <w:rFonts w:ascii="Cambria Math" w:eastAsiaTheme="minorEastAsia" w:hAnsi="Cambria Math"/>
                    <w:i/>
                  </w:rPr>
                </m:ctrlPr>
              </m:dPr>
              <m:e>
                <m:r>
                  <w:rPr>
                    <w:rFonts w:ascii="Cambria Math" w:eastAsiaTheme="minorEastAsia" w:hAnsi="Cambria Math"/>
                  </w:rPr>
                  <m:t>UC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lang w:val="fr-FR"/>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d>
      </m:oMath>
    </w:p>
    <w:p w:rsidR="00147789" w:rsidRDefault="00147789" w:rsidP="00147789">
      <w:pPr>
        <w:pStyle w:val="ListParagraph"/>
        <w:ind w:left="1440"/>
        <w:rPr>
          <w:rFonts w:eastAsiaTheme="minorEastAsia"/>
        </w:rPr>
      </w:pPr>
      <w:r w:rsidRPr="00147789">
        <w:rPr>
          <w:rFonts w:eastAsiaTheme="minorEastAsia"/>
        </w:rPr>
        <w:t xml:space="preserve">Where </w:t>
      </w:r>
      <m:oMath>
        <m:r>
          <w:rPr>
            <w:rFonts w:ascii="Cambria Math" w:eastAsiaTheme="minorEastAsia" w:hAnsi="Cambria Math"/>
            <w:lang w:val="fr-FR"/>
          </w:rPr>
          <m:t>SE</m:t>
        </m:r>
        <m:d>
          <m:dPr>
            <m:ctrlPr>
              <w:rPr>
                <w:rFonts w:ascii="Cambria Math" w:eastAsiaTheme="minorEastAsia" w:hAnsi="Cambria Math"/>
                <w:i/>
              </w:rPr>
            </m:ctrlPr>
          </m:dPr>
          <m:e>
            <m:r>
              <w:rPr>
                <w:rFonts w:ascii="Cambria Math" w:eastAsiaTheme="minorEastAsia" w:hAnsi="Cambria Math"/>
                <w:lang w:val="fr-FR"/>
              </w:rPr>
              <m:t>DS</m:t>
            </m:r>
            <m:sSub>
              <m:sSubPr>
                <m:ctrlPr>
                  <w:rPr>
                    <w:rFonts w:ascii="Cambria Math" w:eastAsiaTheme="minorEastAsia" w:hAnsi="Cambria Math"/>
                    <w:i/>
                    <w:lang w:val="fr-FR"/>
                  </w:rPr>
                </m:ctrlPr>
              </m:sSubPr>
              <m:e>
                <m:r>
                  <w:rPr>
                    <w:rFonts w:ascii="Cambria Math" w:eastAsiaTheme="minorEastAsia" w:hAnsi="Cambria Math"/>
                    <w:lang w:val="fr-FR"/>
                  </w:rPr>
                  <m:t>R</m:t>
                </m:r>
              </m:e>
              <m:sub>
                <m:r>
                  <w:rPr>
                    <w:rFonts w:ascii="Cambria Math" w:eastAsiaTheme="minorEastAsia" w:hAnsi="Cambria Math"/>
                    <w:lang w:val="fr-FR"/>
                  </w:rPr>
                  <m:t>i</m:t>
                </m:r>
              </m:sub>
            </m:sSub>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nary>
              </m:e>
            </m:rad>
          </m:num>
          <m:den>
            <m:nary>
              <m:naryPr>
                <m:chr m:val="∑"/>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nary>
          </m:den>
        </m:f>
        <m:r>
          <w:rPr>
            <w:rFonts w:ascii="Cambria Math" w:eastAsiaTheme="minorEastAsia" w:hAnsi="Cambria Math"/>
          </w:rPr>
          <m:t>×100,000</m:t>
        </m:r>
      </m:oMath>
    </w:p>
    <w:p w:rsidR="00147789" w:rsidRDefault="00147789" w:rsidP="00147789">
      <w:pPr>
        <w:pStyle w:val="ListParagraph"/>
        <w:ind w:left="144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is the lower 95% CI of the mean of the Poisson variable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w:t>
      </w:r>
    </w:p>
    <w:p w:rsidR="00147789" w:rsidRDefault="00147789" w:rsidP="00147789">
      <w:pPr>
        <w:pStyle w:val="ListParagraph"/>
        <w:ind w:left="1418"/>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oMath>
      <w:r>
        <w:rPr>
          <w:rFonts w:eastAsiaTheme="minorEastAsia"/>
        </w:rPr>
        <w:t xml:space="preserve"> is the upper 95% CI of the mean of the Poisson variable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w:t>
      </w:r>
    </w:p>
    <w:p w:rsidR="0015376A" w:rsidRDefault="0015376A" w:rsidP="0015376A">
      <w:pPr>
        <w:rPr>
          <w:rFonts w:eastAsiaTheme="minorEastAsia"/>
        </w:rPr>
      </w:pPr>
      <w:r w:rsidRPr="0015376A">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D77BE7" w:rsidTr="00D77BE7">
        <w:tc>
          <w:tcPr>
            <w:tcW w:w="1768" w:type="dxa"/>
            <w:shd w:val="clear" w:color="auto" w:fill="EEECE1" w:themeFill="background2"/>
          </w:tcPr>
          <w:p w:rsidR="00D77BE7" w:rsidRDefault="00D77BE7" w:rsidP="0015376A">
            <w:pPr>
              <w:rPr>
                <w:rFonts w:eastAsiaTheme="minorEastAsia"/>
              </w:rPr>
            </w:pPr>
            <w:r>
              <w:rPr>
                <w:rFonts w:eastAsiaTheme="minorEastAsia"/>
              </w:rPr>
              <w:t>Column name</w:t>
            </w:r>
          </w:p>
        </w:tc>
        <w:tc>
          <w:tcPr>
            <w:tcW w:w="7474" w:type="dxa"/>
            <w:shd w:val="clear" w:color="auto" w:fill="EEECE1" w:themeFill="background2"/>
          </w:tcPr>
          <w:p w:rsidR="00D77BE7" w:rsidRDefault="00D77BE7" w:rsidP="00D77BE7">
            <w:pPr>
              <w:rPr>
                <w:rFonts w:eastAsiaTheme="minorEastAsia"/>
              </w:rPr>
            </w:pPr>
            <w:r>
              <w:rPr>
                <w:rFonts w:eastAsiaTheme="minorEastAsia"/>
              </w:rPr>
              <w:t>Description</w:t>
            </w:r>
          </w:p>
        </w:tc>
      </w:tr>
      <w:tr w:rsidR="00D77BE7" w:rsidTr="00D77BE7">
        <w:tc>
          <w:tcPr>
            <w:tcW w:w="1768" w:type="dxa"/>
          </w:tcPr>
          <w:p w:rsidR="00D77BE7" w:rsidRDefault="00D77BE7" w:rsidP="0015376A">
            <w:pPr>
              <w:rPr>
                <w:rFonts w:eastAsiaTheme="minorEastAsia"/>
              </w:rPr>
            </w:pPr>
            <w:r w:rsidRPr="00D77BE7">
              <w:rPr>
                <w:rFonts w:eastAsiaTheme="minorEastAsia"/>
              </w:rPr>
              <w:t>RATE_UNADJ</w:t>
            </w:r>
          </w:p>
        </w:tc>
        <w:tc>
          <w:tcPr>
            <w:tcW w:w="7474" w:type="dxa"/>
          </w:tcPr>
          <w:p w:rsidR="00D77BE7" w:rsidRDefault="00D77BE7" w:rsidP="0015376A">
            <w:pPr>
              <w:rPr>
                <w:rFonts w:eastAsiaTheme="minorEastAsia"/>
              </w:rPr>
            </w:pPr>
            <w:r>
              <w:rPr>
                <w:rFonts w:eastAsiaTheme="minorEastAsia"/>
              </w:rPr>
              <w:t>Directly standardised rate adjusted for age and sex only</w:t>
            </w:r>
          </w:p>
        </w:tc>
      </w:tr>
      <w:tr w:rsidR="00D77BE7" w:rsidTr="00D77BE7">
        <w:tc>
          <w:tcPr>
            <w:tcW w:w="1768" w:type="dxa"/>
          </w:tcPr>
          <w:p w:rsidR="00D77BE7" w:rsidRDefault="00D77BE7" w:rsidP="0015376A">
            <w:pPr>
              <w:rPr>
                <w:rFonts w:eastAsiaTheme="minorEastAsia"/>
              </w:rPr>
            </w:pPr>
            <w:r w:rsidRPr="00D77BE7">
              <w:rPr>
                <w:rFonts w:eastAsiaTheme="minorEastAsia"/>
              </w:rPr>
              <w:t>RATEL95_UNADJ</w:t>
            </w:r>
          </w:p>
        </w:tc>
        <w:tc>
          <w:tcPr>
            <w:tcW w:w="7474" w:type="dxa"/>
          </w:tcPr>
          <w:p w:rsidR="00D77BE7" w:rsidRDefault="00D77BE7" w:rsidP="0015376A">
            <w:pPr>
              <w:rPr>
                <w:rFonts w:eastAsiaTheme="minorEastAsia"/>
              </w:rPr>
            </w:pPr>
            <w:r>
              <w:rPr>
                <w:rFonts w:eastAsiaTheme="minorEastAsia"/>
              </w:rPr>
              <w:t>Lower bound of the 95% CI of the directly standardised rate adjusted for age and sex only</w:t>
            </w:r>
          </w:p>
        </w:tc>
      </w:tr>
      <w:tr w:rsidR="00D77BE7" w:rsidTr="00D77BE7">
        <w:tc>
          <w:tcPr>
            <w:tcW w:w="1768" w:type="dxa"/>
          </w:tcPr>
          <w:p w:rsidR="00D77BE7" w:rsidRDefault="00D77BE7" w:rsidP="0015376A">
            <w:pPr>
              <w:rPr>
                <w:rFonts w:eastAsiaTheme="minorEastAsia"/>
              </w:rPr>
            </w:pPr>
            <w:r w:rsidRPr="00D77BE7">
              <w:rPr>
                <w:rFonts w:eastAsiaTheme="minorEastAsia"/>
              </w:rPr>
              <w:t>RATEU95_UNADJ</w:t>
            </w:r>
          </w:p>
        </w:tc>
        <w:tc>
          <w:tcPr>
            <w:tcW w:w="7474" w:type="dxa"/>
          </w:tcPr>
          <w:p w:rsidR="00D77BE7" w:rsidRDefault="00D77BE7" w:rsidP="0015376A">
            <w:pPr>
              <w:rPr>
                <w:rFonts w:eastAsiaTheme="minorEastAsia"/>
              </w:rPr>
            </w:pPr>
            <w:r>
              <w:rPr>
                <w:rFonts w:eastAsiaTheme="minorEastAsia"/>
              </w:rPr>
              <w:t>Upper bound of the 95% CI of the directly standardised rate adjusted for age and sex only</w:t>
            </w:r>
          </w:p>
        </w:tc>
      </w:tr>
      <w:tr w:rsidR="00D77BE7" w:rsidTr="00D77BE7">
        <w:tc>
          <w:tcPr>
            <w:tcW w:w="1768" w:type="dxa"/>
          </w:tcPr>
          <w:p w:rsidR="00D77BE7" w:rsidRDefault="00D77BE7" w:rsidP="0015376A">
            <w:pPr>
              <w:rPr>
                <w:rFonts w:eastAsiaTheme="minorEastAsia"/>
              </w:rPr>
            </w:pPr>
            <w:r>
              <w:rPr>
                <w:rFonts w:eastAsiaTheme="minorEastAsia"/>
              </w:rPr>
              <w:t>RATE_</w:t>
            </w:r>
            <w:r w:rsidRPr="00D77BE7">
              <w:rPr>
                <w:rFonts w:eastAsiaTheme="minorEastAsia"/>
              </w:rPr>
              <w:t>ADJ</w:t>
            </w:r>
          </w:p>
        </w:tc>
        <w:tc>
          <w:tcPr>
            <w:tcW w:w="7474" w:type="dxa"/>
          </w:tcPr>
          <w:p w:rsidR="00D77BE7" w:rsidRDefault="00D77BE7" w:rsidP="0015376A">
            <w:pPr>
              <w:rPr>
                <w:rFonts w:eastAsiaTheme="minorEastAsia"/>
              </w:rPr>
            </w:pPr>
            <w:r>
              <w:rPr>
                <w:rFonts w:eastAsiaTheme="minorEastAsia"/>
              </w:rPr>
              <w:t>Directly standardised rate adjusted for age, sex and provided adjustment variables</w:t>
            </w:r>
          </w:p>
        </w:tc>
      </w:tr>
      <w:tr w:rsidR="00D77BE7" w:rsidTr="00D77BE7">
        <w:tc>
          <w:tcPr>
            <w:tcW w:w="1768" w:type="dxa"/>
          </w:tcPr>
          <w:p w:rsidR="00D77BE7" w:rsidRDefault="00D77BE7" w:rsidP="0015376A">
            <w:pPr>
              <w:rPr>
                <w:rFonts w:eastAsiaTheme="minorEastAsia"/>
              </w:rPr>
            </w:pPr>
            <w:r>
              <w:rPr>
                <w:rFonts w:eastAsiaTheme="minorEastAsia"/>
              </w:rPr>
              <w:t>RATEL95_</w:t>
            </w:r>
            <w:r w:rsidRPr="00D77BE7">
              <w:rPr>
                <w:rFonts w:eastAsiaTheme="minorEastAsia"/>
              </w:rPr>
              <w:t>ADJ</w:t>
            </w:r>
          </w:p>
        </w:tc>
        <w:tc>
          <w:tcPr>
            <w:tcW w:w="7474" w:type="dxa"/>
          </w:tcPr>
          <w:p w:rsidR="00D77BE7" w:rsidRDefault="00D77BE7" w:rsidP="0015376A">
            <w:pPr>
              <w:rPr>
                <w:rFonts w:eastAsiaTheme="minorEastAsia"/>
              </w:rPr>
            </w:pPr>
            <w:r w:rsidRPr="00D77BE7">
              <w:rPr>
                <w:rFonts w:eastAsiaTheme="minorEastAsia"/>
              </w:rPr>
              <w:t>Lower bound of the 95% CI of the directly standardised</w:t>
            </w:r>
            <w:r>
              <w:t xml:space="preserve"> </w:t>
            </w:r>
            <w:r w:rsidRPr="00D77BE7">
              <w:rPr>
                <w:rFonts w:eastAsiaTheme="minorEastAsia"/>
              </w:rPr>
              <w:t>adjusted for age, sex and provided adjustment variables</w:t>
            </w:r>
          </w:p>
        </w:tc>
      </w:tr>
      <w:tr w:rsidR="00D77BE7" w:rsidTr="00D77BE7">
        <w:tc>
          <w:tcPr>
            <w:tcW w:w="1768" w:type="dxa"/>
          </w:tcPr>
          <w:p w:rsidR="00D77BE7" w:rsidRDefault="00D77BE7" w:rsidP="0015376A">
            <w:pPr>
              <w:rPr>
                <w:rFonts w:eastAsiaTheme="minorEastAsia"/>
              </w:rPr>
            </w:pPr>
            <w:r>
              <w:rPr>
                <w:rFonts w:eastAsiaTheme="minorEastAsia"/>
              </w:rPr>
              <w:t>RATEU95_</w:t>
            </w:r>
            <w:r w:rsidRPr="00D77BE7">
              <w:rPr>
                <w:rFonts w:eastAsiaTheme="minorEastAsia"/>
              </w:rPr>
              <w:t>ADJ</w:t>
            </w:r>
          </w:p>
        </w:tc>
        <w:tc>
          <w:tcPr>
            <w:tcW w:w="7474" w:type="dxa"/>
          </w:tcPr>
          <w:p w:rsidR="00D77BE7" w:rsidRDefault="00D77BE7" w:rsidP="0015376A">
            <w:pPr>
              <w:rPr>
                <w:rFonts w:eastAsiaTheme="minorEastAsia"/>
              </w:rPr>
            </w:pPr>
            <w:r>
              <w:rPr>
                <w:rFonts w:eastAsiaTheme="minorEastAsia"/>
              </w:rPr>
              <w:t>Upper</w:t>
            </w:r>
            <w:r w:rsidRPr="00D77BE7">
              <w:rPr>
                <w:rFonts w:eastAsiaTheme="minorEastAsia"/>
              </w:rPr>
              <w:t xml:space="preserve"> bound of the 95% CI of the directly standardised adjusted for age, sex and provided adjustment variables</w:t>
            </w:r>
          </w:p>
        </w:tc>
      </w:tr>
    </w:tbl>
    <w:p w:rsidR="0015376A" w:rsidRDefault="0015376A" w:rsidP="0015376A">
      <w:pPr>
        <w:rPr>
          <w:rFonts w:eastAsiaTheme="minorEastAsia"/>
        </w:rPr>
      </w:pPr>
    </w:p>
    <w:p w:rsidR="00D77BE7" w:rsidRDefault="00D77BE7" w:rsidP="00D77BE7">
      <w:pPr>
        <w:spacing w:after="0"/>
        <w:rPr>
          <w:b/>
          <w:i/>
        </w:rPr>
      </w:pPr>
      <w:r>
        <w:rPr>
          <w:b/>
          <w:i/>
        </w:rPr>
        <w:t>Relative risk ratio</w:t>
      </w:r>
    </w:p>
    <w:p w:rsidR="00D77BE7" w:rsidRDefault="004E2CF3" w:rsidP="00D77BE7">
      <w:pPr>
        <w:jc w:val="both"/>
      </w:pPr>
      <w:r>
        <w:t xml:space="preserve">To compare areas, one can also </w:t>
      </w:r>
      <w:r w:rsidR="00AE0F47">
        <w:t xml:space="preserve">consider the relative excess or deficit of observed counts in comparison with the expected value if rates in all strata of </w:t>
      </w:r>
      <w:proofErr w:type="gramStart"/>
      <w:r w:rsidR="00AE0F47">
        <w:t xml:space="preserve">area </w:t>
      </w:r>
      <w:proofErr w:type="gramEnd"/>
      <m:oMath>
        <m:r>
          <w:rPr>
            <w:rFonts w:ascii="Cambria Math" w:hAnsi="Cambria Math"/>
          </w:rPr>
          <m:t>i</m:t>
        </m:r>
      </m:oMath>
      <w:r w:rsidR="00AE0F47">
        <w:rPr>
          <w:rFonts w:eastAsiaTheme="minorEastAsia"/>
        </w:rPr>
        <w:t xml:space="preserve">, where identical to rates in the comparison population. This value names the relative risk, and it is roughly estimated by the ratio between the observed counts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E0F47">
        <w:rPr>
          <w:rFonts w:eastAsiaTheme="minorEastAsia"/>
        </w:rPr>
        <w:t xml:space="preserve"> and expected </w:t>
      </w:r>
      <w:proofErr w:type="gramStart"/>
      <w:r w:rsidR="00AE0F47">
        <w:rPr>
          <w:rFonts w:eastAsiaTheme="minorEastAsia"/>
        </w:rPr>
        <w:t xml:space="preserve">counts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AE0F47">
        <w:rPr>
          <w:rFonts w:eastAsiaTheme="minorEastAsia"/>
        </w:rPr>
        <w:t>. This estimate names the standardised mortality rate (</w:t>
      </w:r>
      <m:oMath>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E0F47">
        <w:rPr>
          <w:rFonts w:eastAsiaTheme="minorEastAsia"/>
        </w:rPr>
        <w:t>) or the standardised incidence rate (</w:t>
      </w:r>
      <m:oMath>
        <m:r>
          <w:rPr>
            <w:rFonts w:ascii="Cambria Math" w:eastAsiaTheme="minorEastAsia" w:hAnsi="Cambria Math"/>
          </w:rPr>
          <m:t>SI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E0F47">
        <w:rPr>
          <w:rFonts w:eastAsiaTheme="minorEastAsia"/>
        </w:rPr>
        <w:t xml:space="preserve">). </w:t>
      </w:r>
      <w:r>
        <w:t xml:space="preserve">The expected counts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are calculated by applying to each strata </w:t>
      </w:r>
      <m:oMath>
        <m:r>
          <w:rPr>
            <w:rFonts w:ascii="Cambria Math" w:hAnsi="Cambria Math"/>
          </w:rPr>
          <m:t>j</m:t>
        </m:r>
      </m:oMath>
      <w:r>
        <w:t xml:space="preserve"> of the study population, the rates </w:t>
      </w:r>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oMath>
      <w:r>
        <w:t xml:space="preserve"> of the comparison population, </w:t>
      </w:r>
    </w:p>
    <w:p w:rsidR="004E2CF3" w:rsidRPr="004E2CF3" w:rsidRDefault="007077F5" w:rsidP="00D77BE7">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ij</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e>
          </m:nary>
        </m:oMath>
      </m:oMathPara>
    </w:p>
    <w:p w:rsidR="00AE0F47" w:rsidRDefault="004E2CF3" w:rsidP="00D77BE7">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eastAsiaTheme="minorEastAsia"/>
        </w:rPr>
        <w:t xml:space="preserve"> is the study population in strata </w:t>
      </w:r>
      <m:oMath>
        <m:r>
          <w:rPr>
            <w:rFonts w:ascii="Cambria Math" w:eastAsiaTheme="minorEastAsia" w:hAnsi="Cambria Math"/>
          </w:rPr>
          <m:t>j</m:t>
        </m:r>
      </m:oMath>
      <w:r>
        <w:rPr>
          <w:rFonts w:eastAsiaTheme="minorEastAsia"/>
        </w:rPr>
        <w:t xml:space="preserve"> of area </w:t>
      </w:r>
      <m:oMath>
        <m:r>
          <w:rPr>
            <w:rFonts w:ascii="Cambria Math" w:eastAsiaTheme="minorEastAsia" w:hAnsi="Cambria Math"/>
          </w:rPr>
          <m:t>i</m:t>
        </m:r>
      </m:oMath>
      <w:r>
        <w:rPr>
          <w:rFonts w:eastAsiaTheme="minorEastAsia"/>
        </w:rPr>
        <w:t xml:space="preserve">. </w:t>
      </w:r>
    </w:p>
    <w:p w:rsidR="004E2CF3" w:rsidRDefault="006B6EBE" w:rsidP="00D77BE7">
      <w:pPr>
        <w:jc w:val="both"/>
        <w:rPr>
          <w:rFonts w:eastAsiaTheme="minorEastAsia"/>
        </w:rPr>
      </w:pPr>
      <w:r>
        <w:rPr>
          <w:rFonts w:eastAsiaTheme="minorEastAsia"/>
        </w:rPr>
        <w:t xml:space="preserve">Values </w:t>
      </w:r>
      <w:r w:rsidR="00143F14">
        <w:rPr>
          <w:rFonts w:eastAsiaTheme="minorEastAsia"/>
        </w:rPr>
        <w:t xml:space="preserve">of the relative risk </w:t>
      </w:r>
      <w:r>
        <w:rPr>
          <w:rFonts w:eastAsiaTheme="minorEastAsia"/>
        </w:rPr>
        <w:t>larger than one</w:t>
      </w:r>
      <w:r w:rsidR="00A63459">
        <w:rPr>
          <w:rFonts w:eastAsiaTheme="minorEastAsia"/>
        </w:rPr>
        <w:t xml:space="preserve"> indicate an excess of risk </w:t>
      </w:r>
      <w:r w:rsidR="00646711">
        <w:rPr>
          <w:rFonts w:eastAsiaTheme="minorEastAsia"/>
        </w:rPr>
        <w:t>relatively to</w:t>
      </w:r>
      <w:r w:rsidR="00A63459">
        <w:rPr>
          <w:rFonts w:eastAsiaTheme="minorEastAsia"/>
        </w:rPr>
        <w:t xml:space="preserve"> the underlying ‘comparison population’, whereas values smaller than 1 indicate a deficit of risk. Since each observation, is divided to the expected counts given the structure of the population, this variable has no unit, and comparisons between areas can be done. </w:t>
      </w:r>
    </w:p>
    <w:p w:rsidR="000D2781" w:rsidRPr="00A63459" w:rsidRDefault="004E2CF3" w:rsidP="00A63459">
      <w:pPr>
        <w:jc w:val="both"/>
        <w:rPr>
          <w:rFonts w:eastAsiaTheme="minorEastAsia"/>
        </w:rPr>
      </w:pPr>
      <w:r>
        <w:rPr>
          <w:rFonts w:eastAsiaTheme="minorEastAsia"/>
        </w:rPr>
        <w:t xml:space="preserve"> </w:t>
      </w:r>
      <w:r w:rsidR="00A63459">
        <w:rPr>
          <w:rFonts w:eastAsiaTheme="minorEastAsia"/>
        </w:rPr>
        <w:t xml:space="preserve">Again, the 95% credible intervals indicate the uncertainty associated to the estimate. Here we </w:t>
      </w:r>
      <w:r w:rsidR="00143F14">
        <w:rPr>
          <w:rFonts w:eastAsiaTheme="minorEastAsia"/>
        </w:rPr>
        <w:t>notice that</w:t>
      </w:r>
      <w:r w:rsidR="00143F14">
        <w:t xml:space="preserve"> relative risk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43F14">
        <w:rPr>
          <w:rFonts w:eastAsiaTheme="minorEastAsia"/>
        </w:rPr>
        <w:t xml:space="preserve"> is the parameter of a Poisson distribution,</w:t>
      </w:r>
    </w:p>
    <w:p w:rsidR="00143F14" w:rsidRPr="00143F14" w:rsidRDefault="007077F5" w:rsidP="00BA6D2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eastAsiaTheme="minorEastAsia" w:hAnsi="Cambria Math"/>
            </w:rPr>
            <m:t>.</m:t>
          </m:r>
        </m:oMath>
      </m:oMathPara>
    </w:p>
    <w:p w:rsidR="000D2781" w:rsidRPr="00B84EAF" w:rsidRDefault="000D2781" w:rsidP="00B84EAF">
      <w:pPr>
        <w:pStyle w:val="ListParagraph"/>
        <w:numPr>
          <w:ilvl w:val="0"/>
          <w:numId w:val="8"/>
        </w:numPr>
        <w:rPr>
          <w:rFonts w:eastAsiaTheme="minorEastAsia"/>
        </w:rPr>
      </w:pPr>
      <w:proofErr w:type="gramStart"/>
      <w:r w:rsidRPr="00B84EAF">
        <w:rPr>
          <w:rFonts w:eastAsiaTheme="minorEastAsia"/>
        </w:rPr>
        <w:lastRenderedPageBreak/>
        <w:t xml:space="preserve">If </w:t>
      </w:r>
      <w:proofErr w:type="gramEnd"/>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&lt;100</m:t>
        </m:r>
      </m:oMath>
      <w:r w:rsidRPr="00B84EAF">
        <w:rPr>
          <w:rFonts w:eastAsiaTheme="minorEastAsia"/>
        </w:rPr>
        <w:t xml:space="preserve">, confidence intervals are find </w:t>
      </w:r>
      <w:r w:rsidR="00B84EAF" w:rsidRPr="00B84EAF">
        <w:rPr>
          <w:rFonts w:eastAsiaTheme="minorEastAsia"/>
        </w:rPr>
        <w:t>by using the Chi-squared method.</w:t>
      </w:r>
      <w:r w:rsidRPr="00B84EAF">
        <w:rPr>
          <w:rFonts w:eastAsiaTheme="minorEastAsia"/>
        </w:rPr>
        <w:t xml:space="preserve"> </w:t>
      </w:r>
    </w:p>
    <w:p w:rsidR="00B84EAF" w:rsidRDefault="000D2781" w:rsidP="00B84EAF">
      <w:pPr>
        <w:tabs>
          <w:tab w:val="left" w:pos="5543"/>
        </w:tabs>
        <w:ind w:left="709"/>
        <w:rPr>
          <w:rFonts w:eastAsiaTheme="minorEastAsia"/>
        </w:rPr>
      </w:pPr>
      <w:r>
        <w:rPr>
          <w:rFonts w:eastAsiaTheme="minorEastAsia"/>
        </w:rPr>
        <w:t>For instance,</w:t>
      </w:r>
      <w:r w:rsidR="00B84EAF">
        <w:rPr>
          <w:rFonts w:eastAsiaTheme="minorEastAsia"/>
        </w:rPr>
        <w:t xml:space="preserve"> if</w:t>
      </w:r>
      <w:r>
        <w:rPr>
          <w:rFonts w:eastAsiaTheme="minorEastAsia"/>
        </w:rPr>
        <w:t xml:space="preserve"> </w:t>
      </w:r>
      <m:oMath>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oMath>
      <w:r>
        <w:rPr>
          <w:rFonts w:eastAsiaTheme="minorEastAsia"/>
        </w:rPr>
        <w:t xml:space="preserve"> </w:t>
      </w:r>
      <w:r w:rsidR="00B84EAF">
        <w:rPr>
          <w:rFonts w:eastAsiaTheme="minorEastAsia"/>
        </w:rPr>
        <w:t xml:space="preserve">is </w:t>
      </w:r>
      <w:r>
        <w:rPr>
          <w:rFonts w:eastAsiaTheme="minorEastAsia"/>
        </w:rPr>
        <w:t>the upper bo</w:t>
      </w:r>
      <w:r w:rsidR="00B84EAF">
        <w:rPr>
          <w:rFonts w:eastAsiaTheme="minorEastAsia"/>
        </w:rPr>
        <w:t>und, t</w:t>
      </w:r>
      <w:r w:rsidR="00A63459">
        <w:rPr>
          <w:rFonts w:eastAsiaTheme="minorEastAsia"/>
        </w:rPr>
        <w:t xml:space="preserve">hen, </w:t>
      </w:r>
      <w:r w:rsidR="00B84EAF">
        <w:rPr>
          <w:rFonts w:eastAsiaTheme="minorEastAsia"/>
        </w:rPr>
        <w:t>by definition,</w:t>
      </w:r>
      <w:r>
        <w:rPr>
          <w:rFonts w:eastAsiaTheme="minorEastAsia"/>
        </w:rPr>
        <w:t xml:space="preserve"> for </w:t>
      </w:r>
      <w:proofErr w:type="gramStart"/>
      <w:r>
        <w:rPr>
          <w:rFonts w:eastAsiaTheme="minorEastAsia"/>
        </w:rPr>
        <w:t xml:space="preserve">any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e>
        </m:d>
      </m:oMath>
      <w:r>
        <w:rPr>
          <w:rFonts w:eastAsiaTheme="minorEastAsia"/>
        </w:rPr>
        <w:t>,</w:t>
      </w:r>
      <w:r w:rsidR="00B84EAF">
        <w:rPr>
          <w:rFonts w:eastAsiaTheme="minorEastAsia"/>
        </w:rPr>
        <w:t xml:space="preserve"> </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B84EAF">
        <w:rPr>
          <w:rFonts w:eastAsiaTheme="minorEastAsia"/>
        </w:rPr>
        <w:t xml:space="preserve">. </w:t>
      </w:r>
    </w:p>
    <w:p w:rsidR="001D6DA4" w:rsidRDefault="00B84EAF" w:rsidP="00B84EAF">
      <w:pPr>
        <w:tabs>
          <w:tab w:val="left" w:pos="5543"/>
        </w:tabs>
        <w:ind w:left="709"/>
        <w:rPr>
          <w:rFonts w:eastAsiaTheme="minorEastAsia"/>
        </w:rPr>
      </w:pPr>
      <w:r>
        <w:rPr>
          <w:rFonts w:eastAsiaTheme="minorEastAsia"/>
        </w:rPr>
        <w:t xml:space="preserve">We </w:t>
      </w:r>
      <w:r w:rsidR="000D2781">
        <w:rPr>
          <w:rFonts w:eastAsiaTheme="minorEastAsia"/>
        </w:rPr>
        <w:t xml:space="preserve">know </w:t>
      </w:r>
      <w:proofErr w:type="gramStart"/>
      <w:r w:rsidR="000D2781">
        <w:rPr>
          <w:rFonts w:eastAsiaTheme="minorEastAsia"/>
        </w:rPr>
        <w:t xml:space="preserve">that </w:t>
      </w:r>
      <w:proofErr w:type="gramEnd"/>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 xml:space="preserve">Y≤2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e>
        </m:d>
      </m:oMath>
      <w:r>
        <w:rPr>
          <w:rFonts w:eastAsiaTheme="minorEastAsia"/>
        </w:rPr>
        <w:t xml:space="preserve">, with </w:t>
      </w:r>
      <m:oMath>
        <m:r>
          <w:rPr>
            <w:rFonts w:ascii="Cambria Math" w:eastAsiaTheme="minorEastAsia" w:hAnsi="Cambria Math"/>
          </w:rPr>
          <m:t>Y ∼</m:t>
        </m:r>
        <m:sSubSup>
          <m:sSubSupPr>
            <m:ctrlPr>
              <w:rPr>
                <w:rFonts w:ascii="Cambria Math" w:eastAsiaTheme="minorEastAsia" w:hAnsi="Cambria Math"/>
                <w:i/>
              </w:rPr>
            </m:ctrlPr>
          </m:sSubSupPr>
          <m:e>
            <m:r>
              <m:rPr>
                <m:sty m:val="p"/>
              </m:rPr>
              <w:rPr>
                <w:rFonts w:ascii="Cambria Math" w:eastAsiaTheme="minorEastAsia" w:hAnsi="Cambria Math"/>
              </w:rPr>
              <m:t>Χ</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+2</m:t>
            </m:r>
          </m:sub>
          <m:sup>
            <m:r>
              <w:rPr>
                <w:rFonts w:ascii="Cambria Math" w:eastAsiaTheme="minorEastAsia" w:hAnsi="Cambria Math"/>
              </w:rPr>
              <m:t>2</m:t>
            </m:r>
          </m:sup>
        </m:sSubSup>
      </m:oMath>
      <w:r>
        <w:rPr>
          <w:rFonts w:eastAsiaTheme="minorEastAsia"/>
        </w:rPr>
        <w:t xml:space="preserve">. Consequently, </w:t>
      </w:r>
    </w:p>
    <w:p w:rsidR="000D2781" w:rsidRPr="00330CC2" w:rsidRDefault="001D6DA4" w:rsidP="001D6DA4">
      <w:pPr>
        <w:pStyle w:val="ListParagraph"/>
        <w:numPr>
          <w:ilvl w:val="1"/>
          <w:numId w:val="8"/>
        </w:numPr>
        <w:tabs>
          <w:tab w:val="left" w:pos="5543"/>
        </w:tabs>
        <w:rPr>
          <w:rFonts w:eastAsiaTheme="minorEastAsia"/>
          <w:lang w:val="fr-FR"/>
        </w:rPr>
      </w:pPr>
      <w:proofErr w:type="spellStart"/>
      <w:r w:rsidRPr="00330CC2">
        <w:rPr>
          <w:rFonts w:eastAsiaTheme="minorEastAsia"/>
          <w:iCs/>
          <w:lang w:val="fr-FR"/>
        </w:rPr>
        <w:t>upper</w:t>
      </w:r>
      <w:proofErr w:type="spellEnd"/>
      <w:r w:rsidRPr="00330CC2">
        <w:rPr>
          <w:rFonts w:eastAsiaTheme="minorEastAsia"/>
          <w:iCs/>
          <w:lang w:val="fr-FR"/>
        </w:rPr>
        <w:t xml:space="preserve"> 95% CI </w:t>
      </w:r>
      <m:oMath>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lang w:val="fr-FR"/>
              </w:rPr>
              <m:t>1</m:t>
            </m:r>
          </m:num>
          <m:den>
            <m:r>
              <w:rPr>
                <w:rFonts w:ascii="Cambria Math" w:eastAsiaTheme="minorEastAsia" w:hAnsi="Cambria Math"/>
                <w:lang w:val="fr-FR"/>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α</m:t>
            </m:r>
            <m:r>
              <w:rPr>
                <w:rFonts w:ascii="Cambria Math" w:eastAsiaTheme="minorEastAsia" w:hAnsi="Cambria Math"/>
                <w:lang w:val="fr-FR"/>
              </w:rPr>
              <m:t>/2</m:t>
            </m:r>
          </m:sub>
          <m:sup>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lang w:val="fr-FR"/>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lang w:val="fr-FR"/>
                  </w:rPr>
                  <m:t>+2</m:t>
                </m:r>
              </m:sub>
              <m:sup>
                <m:r>
                  <w:rPr>
                    <w:rFonts w:ascii="Cambria Math" w:eastAsiaTheme="minorEastAsia" w:hAnsi="Cambria Math"/>
                    <w:lang w:val="fr-FR"/>
                  </w:rPr>
                  <m:t>2</m:t>
                </m:r>
              </m:sup>
            </m:sSubSup>
          </m:sup>
        </m:sSubSup>
      </m:oMath>
    </w:p>
    <w:p w:rsidR="001D6DA4" w:rsidRPr="001D6DA4" w:rsidRDefault="001D6DA4" w:rsidP="001D6DA4">
      <w:pPr>
        <w:pStyle w:val="ListParagraph"/>
        <w:numPr>
          <w:ilvl w:val="1"/>
          <w:numId w:val="8"/>
        </w:numPr>
        <w:tabs>
          <w:tab w:val="left" w:pos="5543"/>
        </w:tabs>
        <w:rPr>
          <w:rFonts w:eastAsiaTheme="minorEastAsia"/>
        </w:rPr>
      </w:pPr>
      <w:proofErr w:type="gramStart"/>
      <w:r>
        <w:rPr>
          <w:rFonts w:eastAsiaTheme="minorEastAsia"/>
        </w:rPr>
        <w:t>lower</w:t>
      </w:r>
      <w:proofErr w:type="gramEnd"/>
      <w:r>
        <w:rPr>
          <w:rFonts w:eastAsiaTheme="minorEastAsia"/>
        </w:rPr>
        <w:t xml:space="preserve"> 95% CI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1-α/2</m:t>
            </m:r>
          </m:sub>
          <m:sup>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+2</m:t>
                </m:r>
              </m:sub>
              <m:sup>
                <m:r>
                  <w:rPr>
                    <w:rFonts w:ascii="Cambria Math" w:eastAsiaTheme="minorEastAsia" w:hAnsi="Cambria Math"/>
                  </w:rPr>
                  <m:t>2</m:t>
                </m:r>
              </m:sup>
            </m:sSubSup>
          </m:sup>
        </m:sSubSup>
      </m:oMath>
      <w:r>
        <w:rPr>
          <w:rFonts w:eastAsiaTheme="minorEastAsia"/>
        </w:rPr>
        <w:t xml:space="preserve">. </w:t>
      </w:r>
    </w:p>
    <w:p w:rsidR="001D6DA4" w:rsidRPr="001D6DA4" w:rsidRDefault="00B84EAF" w:rsidP="00B84EAF">
      <w:pPr>
        <w:pStyle w:val="ListParagraph"/>
        <w:numPr>
          <w:ilvl w:val="0"/>
          <w:numId w:val="7"/>
        </w:numPr>
      </w:pPr>
      <w:proofErr w:type="gramStart"/>
      <w:r>
        <w:t xml:space="preserve">If </w:t>
      </w:r>
      <w:proofErr w:type="gramEnd"/>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≥100</m:t>
        </m:r>
      </m:oMath>
      <w:r>
        <w:rPr>
          <w:rFonts w:eastAsiaTheme="minorEastAsia"/>
        </w:rPr>
        <w:t>, a Gaussian approximation of the log relative risk is done</w:t>
      </w:r>
      <w:r w:rsidR="001D6DA4">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r w:rsidR="001D6DA4">
        <w:rPr>
          <w:rFonts w:eastAsiaTheme="minorEastAsia"/>
        </w:rPr>
        <w:t xml:space="preserve"> is assumed to follow a Gaussian distribution with mean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func>
      </m:oMath>
      <w:r w:rsidR="001D6DA4">
        <w:rPr>
          <w:rFonts w:eastAsiaTheme="minorEastAsia"/>
        </w:rPr>
        <w:t xml:space="preserve">, and variance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1D6DA4">
        <w:rPr>
          <w:rFonts w:eastAsiaTheme="minorEastAsia"/>
        </w:rPr>
        <w:t xml:space="preserve">. Then, </w:t>
      </w:r>
    </w:p>
    <w:p w:rsidR="000D2781" w:rsidRPr="001D6DA4" w:rsidRDefault="001D6DA4" w:rsidP="001D6DA4">
      <w:pPr>
        <w:pStyle w:val="ListParagraph"/>
        <w:numPr>
          <w:ilvl w:val="1"/>
          <w:numId w:val="7"/>
        </w:numPr>
      </w:pPr>
      <w:r>
        <w:rPr>
          <w:rFonts w:eastAsiaTheme="minorEastAsia"/>
        </w:rPr>
        <w:t xml:space="preserve">lower 95% CI </w:t>
      </w:r>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r>
              <m:rPr>
                <m:sty m:val="p"/>
              </m:rPr>
              <w:rPr>
                <w:rFonts w:ascii="Cambria Math" w:eastAsiaTheme="minorEastAsia" w:hAnsi="Cambria Math"/>
              </w:rPr>
              <m:t>exp⁡</m:t>
            </m:r>
            <m:r>
              <w:rPr>
                <w:rFonts w:ascii="Cambria Math" w:eastAsiaTheme="minorEastAsia" w:hAnsi="Cambria Math"/>
              </w:rPr>
              <m:t>(1.96</m:t>
            </m:r>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r>
              <w:rPr>
                <w:rFonts w:ascii="Cambria Math" w:eastAsiaTheme="minorEastAsia" w:hAnsi="Cambria Math"/>
              </w:rPr>
              <m:t>)</m:t>
            </m:r>
          </m:den>
        </m:f>
      </m:oMath>
    </w:p>
    <w:p w:rsidR="00330CC2" w:rsidRPr="00646711" w:rsidRDefault="001D6DA4" w:rsidP="00330CC2">
      <w:pPr>
        <w:pStyle w:val="ListParagraph"/>
        <w:numPr>
          <w:ilvl w:val="1"/>
          <w:numId w:val="7"/>
        </w:numPr>
        <w:rPr>
          <w:rFonts w:eastAsiaTheme="minorEastAsia"/>
          <w:lang w:val="fr-FR"/>
        </w:rPr>
      </w:pPr>
      <w:proofErr w:type="spellStart"/>
      <w:r w:rsidRPr="00330CC2">
        <w:rPr>
          <w:rFonts w:eastAsiaTheme="minorEastAsia"/>
          <w:lang w:val="fr-FR"/>
        </w:rPr>
        <w:t>upper</w:t>
      </w:r>
      <w:proofErr w:type="spellEnd"/>
      <w:r w:rsidRPr="00330CC2">
        <w:rPr>
          <w:rFonts w:eastAsiaTheme="minorEastAsia"/>
          <w:lang w:val="fr-FR"/>
        </w:rPr>
        <w:t xml:space="preserve"> 95% CI </w:t>
      </w:r>
      <m:oMath>
        <m:r>
          <w:rPr>
            <w:rFonts w:ascii="Cambria Math" w:eastAsiaTheme="minorEastAsia" w:hAnsi="Cambria Math"/>
            <w:lang w:val="fr-FR"/>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r>
          <w:rPr>
            <w:rFonts w:ascii="Cambria Math" w:eastAsiaTheme="minorEastAsia" w:hAnsi="Cambria Math"/>
            <w:lang w:val="fr-FR"/>
          </w:rPr>
          <m:t>×</m:t>
        </m:r>
        <m:func>
          <m:funcPr>
            <m:ctrlPr>
              <w:rPr>
                <w:rFonts w:ascii="Cambria Math" w:eastAsiaTheme="minorEastAsia" w:hAnsi="Cambria Math"/>
              </w:rPr>
            </m:ctrlPr>
          </m:funcPr>
          <m:fName>
            <m:r>
              <m:rPr>
                <m:sty m:val="p"/>
              </m:rPr>
              <w:rPr>
                <w:rFonts w:ascii="Cambria Math" w:eastAsiaTheme="minorEastAsia" w:hAnsi="Cambria Math"/>
                <w:lang w:val="fr-FR"/>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fr-FR"/>
                  </w:rPr>
                  <m:t>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lang w:val="fr-FR"/>
                          </w:rPr>
                          <m:t>1</m:t>
                        </m:r>
                      </m:num>
                      <m:den>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en>
                    </m:f>
                  </m:e>
                </m:rad>
              </m:e>
            </m:d>
          </m:e>
        </m:func>
      </m:oMath>
    </w:p>
    <w:p w:rsidR="00330CC2" w:rsidRPr="00330CC2" w:rsidRDefault="00330CC2" w:rsidP="00330CC2">
      <w:pPr>
        <w:rPr>
          <w:rFonts w:eastAsiaTheme="minorEastAsia"/>
        </w:rPr>
      </w:pPr>
      <w:r w:rsidRPr="00330CC2">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330CC2" w:rsidTr="00C12AE1">
        <w:tc>
          <w:tcPr>
            <w:tcW w:w="1768" w:type="dxa"/>
            <w:shd w:val="clear" w:color="auto" w:fill="EEECE1" w:themeFill="background2"/>
          </w:tcPr>
          <w:p w:rsidR="00330CC2" w:rsidRDefault="00330CC2" w:rsidP="00C12AE1">
            <w:pPr>
              <w:rPr>
                <w:rFonts w:eastAsiaTheme="minorEastAsia"/>
              </w:rPr>
            </w:pPr>
            <w:r>
              <w:rPr>
                <w:rFonts w:eastAsiaTheme="minorEastAsia"/>
              </w:rPr>
              <w:t>Column name</w:t>
            </w:r>
          </w:p>
        </w:tc>
        <w:tc>
          <w:tcPr>
            <w:tcW w:w="7474" w:type="dxa"/>
            <w:shd w:val="clear" w:color="auto" w:fill="EEECE1" w:themeFill="background2"/>
          </w:tcPr>
          <w:p w:rsidR="00330CC2" w:rsidRDefault="00330CC2" w:rsidP="00C12AE1">
            <w:pPr>
              <w:rPr>
                <w:rFonts w:eastAsiaTheme="minorEastAsia"/>
              </w:rPr>
            </w:pPr>
            <w:r>
              <w:rPr>
                <w:rFonts w:eastAsiaTheme="minorEastAsia"/>
              </w:rPr>
              <w:t>Description</w:t>
            </w:r>
          </w:p>
        </w:tc>
      </w:tr>
      <w:tr w:rsidR="00330CC2" w:rsidTr="00C12AE1">
        <w:tc>
          <w:tcPr>
            <w:tcW w:w="1768" w:type="dxa"/>
          </w:tcPr>
          <w:p w:rsidR="00330CC2" w:rsidRDefault="00330CC2" w:rsidP="00C12AE1">
            <w:pPr>
              <w:rPr>
                <w:rFonts w:eastAsiaTheme="minorEastAsia"/>
              </w:rPr>
            </w:pPr>
            <w:r>
              <w:rPr>
                <w:rFonts w:eastAsiaTheme="minorEastAsia"/>
              </w:rPr>
              <w:t>EXP_UN</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 xml:space="preserve">Expected count adjusted for age and sex only </w:t>
            </w:r>
          </w:p>
        </w:tc>
      </w:tr>
      <w:tr w:rsidR="00330CC2" w:rsidTr="00C12AE1">
        <w:tc>
          <w:tcPr>
            <w:tcW w:w="1768" w:type="dxa"/>
          </w:tcPr>
          <w:p w:rsidR="00330CC2" w:rsidRDefault="00330CC2" w:rsidP="00C12AE1">
            <w:pPr>
              <w:rPr>
                <w:rFonts w:eastAsiaTheme="minorEastAsia"/>
              </w:rPr>
            </w:pPr>
            <w:r w:rsidRPr="00330CC2">
              <w:rPr>
                <w:rFonts w:eastAsiaTheme="minorEastAsia"/>
              </w:rPr>
              <w:t>RR_UNADJ</w:t>
            </w:r>
          </w:p>
        </w:tc>
        <w:tc>
          <w:tcPr>
            <w:tcW w:w="7474" w:type="dxa"/>
          </w:tcPr>
          <w:p w:rsidR="00330CC2" w:rsidRDefault="00487F83" w:rsidP="00C12AE1">
            <w:pPr>
              <w:rPr>
                <w:rFonts w:eastAsiaTheme="minorEastAsia"/>
              </w:rPr>
            </w:pPr>
            <w:r>
              <w:rPr>
                <w:rFonts w:eastAsiaTheme="minorEastAsia"/>
              </w:rPr>
              <w:t>SMR estimate of the r</w:t>
            </w:r>
            <w:r w:rsidR="00330CC2">
              <w:rPr>
                <w:rFonts w:eastAsiaTheme="minorEastAsia"/>
              </w:rPr>
              <w:t>elative risk adjusted for age and sex only</w:t>
            </w:r>
          </w:p>
        </w:tc>
      </w:tr>
      <w:tr w:rsidR="00330CC2" w:rsidTr="00C12AE1">
        <w:tc>
          <w:tcPr>
            <w:tcW w:w="1768" w:type="dxa"/>
          </w:tcPr>
          <w:p w:rsidR="00330CC2" w:rsidRDefault="00330CC2" w:rsidP="00C12AE1">
            <w:pPr>
              <w:rPr>
                <w:rFonts w:eastAsiaTheme="minorEastAsia"/>
              </w:rPr>
            </w:pPr>
            <w:r w:rsidRPr="00330CC2">
              <w:rPr>
                <w:rFonts w:eastAsiaTheme="minorEastAsia"/>
              </w:rPr>
              <w:t>RRL95_UNADJ</w:t>
            </w:r>
          </w:p>
        </w:tc>
        <w:tc>
          <w:tcPr>
            <w:tcW w:w="7474" w:type="dxa"/>
          </w:tcPr>
          <w:p w:rsidR="00330CC2" w:rsidRDefault="00330CC2" w:rsidP="00C12AE1">
            <w:pPr>
              <w:rPr>
                <w:rFonts w:eastAsiaTheme="minorEastAsia"/>
              </w:rPr>
            </w:pPr>
            <w:r>
              <w:rPr>
                <w:rFonts w:eastAsiaTheme="minorEastAsia"/>
              </w:rPr>
              <w:t xml:space="preserve">Lower bound of the 95% CI of the </w:t>
            </w:r>
            <w:r w:rsidR="00487F83">
              <w:rPr>
                <w:rFonts w:eastAsiaTheme="minorEastAsia"/>
              </w:rPr>
              <w:t xml:space="preserve">SMR estimate of the </w:t>
            </w:r>
            <w:r>
              <w:rPr>
                <w:rFonts w:eastAsiaTheme="minorEastAsia"/>
              </w:rPr>
              <w:t>relative risk, adjusted for age and sex only</w:t>
            </w:r>
          </w:p>
        </w:tc>
      </w:tr>
      <w:tr w:rsidR="00330CC2" w:rsidTr="00C12AE1">
        <w:tc>
          <w:tcPr>
            <w:tcW w:w="1768" w:type="dxa"/>
          </w:tcPr>
          <w:p w:rsidR="00330CC2" w:rsidRDefault="00330CC2" w:rsidP="00C12AE1">
            <w:pPr>
              <w:rPr>
                <w:rFonts w:eastAsiaTheme="minorEastAsia"/>
              </w:rPr>
            </w:pPr>
            <w:r w:rsidRPr="00330CC2">
              <w:rPr>
                <w:rFonts w:eastAsiaTheme="minorEastAsia"/>
              </w:rPr>
              <w:t>RRU95_UNADJ</w:t>
            </w:r>
          </w:p>
        </w:tc>
        <w:tc>
          <w:tcPr>
            <w:tcW w:w="7474" w:type="dxa"/>
          </w:tcPr>
          <w:p w:rsidR="00330CC2" w:rsidRDefault="00330CC2" w:rsidP="00C12AE1">
            <w:pPr>
              <w:rPr>
                <w:rFonts w:eastAsiaTheme="minorEastAsia"/>
              </w:rPr>
            </w:pPr>
            <w:r>
              <w:rPr>
                <w:rFonts w:eastAsiaTheme="minorEastAsia"/>
              </w:rPr>
              <w:t>Upper bound of the 95% CI of the</w:t>
            </w:r>
            <w:r w:rsidR="00487F83">
              <w:rPr>
                <w:rFonts w:eastAsiaTheme="minorEastAsia"/>
              </w:rPr>
              <w:t xml:space="preserve"> SMR estimate of the</w:t>
            </w:r>
            <w:r>
              <w:rPr>
                <w:rFonts w:eastAsiaTheme="minorEastAsia"/>
              </w:rPr>
              <w:t xml:space="preserve"> relative risk adjusted for age and sex only</w:t>
            </w:r>
          </w:p>
        </w:tc>
      </w:tr>
      <w:tr w:rsidR="00330CC2" w:rsidTr="00C12AE1">
        <w:tc>
          <w:tcPr>
            <w:tcW w:w="1768" w:type="dxa"/>
          </w:tcPr>
          <w:p w:rsidR="00330CC2" w:rsidRPr="00330CC2" w:rsidRDefault="00330CC2" w:rsidP="00C12AE1">
            <w:pPr>
              <w:rPr>
                <w:rFonts w:eastAsiaTheme="minorEastAsia"/>
              </w:rPr>
            </w:pPr>
            <w:r>
              <w:rPr>
                <w:rFonts w:eastAsiaTheme="minorEastAsia"/>
              </w:rPr>
              <w:t>EXP_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Expected count adjusted for age, sex and adjustment variables</w:t>
            </w:r>
          </w:p>
        </w:tc>
      </w:tr>
      <w:tr w:rsidR="00330CC2" w:rsidTr="00C12AE1">
        <w:tc>
          <w:tcPr>
            <w:tcW w:w="1768" w:type="dxa"/>
          </w:tcPr>
          <w:p w:rsidR="00330CC2" w:rsidRDefault="00330CC2" w:rsidP="00C12AE1">
            <w:pPr>
              <w:rPr>
                <w:rFonts w:eastAsiaTheme="minorEastAsia"/>
              </w:rPr>
            </w:pPr>
            <w:r>
              <w:rPr>
                <w:rFonts w:eastAsiaTheme="minorEastAsia"/>
              </w:rPr>
              <w:t>RR_</w:t>
            </w:r>
            <w:r w:rsidRPr="00330CC2">
              <w:rPr>
                <w:rFonts w:eastAsiaTheme="minorEastAsia"/>
              </w:rPr>
              <w:t>ADJ</w:t>
            </w:r>
          </w:p>
        </w:tc>
        <w:tc>
          <w:tcPr>
            <w:tcW w:w="7474" w:type="dxa"/>
          </w:tcPr>
          <w:p w:rsidR="00330CC2" w:rsidRDefault="00487F83" w:rsidP="00C12AE1">
            <w:pPr>
              <w:rPr>
                <w:rFonts w:eastAsiaTheme="minorEastAsia"/>
              </w:rPr>
            </w:pPr>
            <w:r>
              <w:rPr>
                <w:rFonts w:eastAsiaTheme="minorEastAsia"/>
              </w:rPr>
              <w:t>SMR estimate of the r</w:t>
            </w:r>
            <w:r w:rsidR="00330CC2">
              <w:rPr>
                <w:rFonts w:eastAsiaTheme="minorEastAsia"/>
              </w:rPr>
              <w:t>elative risk adjusted for age sex and adjustment variables</w:t>
            </w:r>
          </w:p>
        </w:tc>
      </w:tr>
      <w:tr w:rsidR="00330CC2" w:rsidTr="00C12AE1">
        <w:tc>
          <w:tcPr>
            <w:tcW w:w="1768" w:type="dxa"/>
          </w:tcPr>
          <w:p w:rsidR="00330CC2" w:rsidRDefault="00330CC2" w:rsidP="00C12AE1">
            <w:pPr>
              <w:rPr>
                <w:rFonts w:eastAsiaTheme="minorEastAsia"/>
              </w:rPr>
            </w:pPr>
            <w:r>
              <w:rPr>
                <w:rFonts w:eastAsiaTheme="minorEastAsia"/>
              </w:rPr>
              <w:t>RRL95_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 xml:space="preserve">Lower bound of the 95% CI of the </w:t>
            </w:r>
            <w:r w:rsidR="00487F83">
              <w:rPr>
                <w:rFonts w:eastAsiaTheme="minorEastAsia"/>
              </w:rPr>
              <w:t xml:space="preserve">SMR estimate of the </w:t>
            </w:r>
            <w:r>
              <w:rPr>
                <w:rFonts w:eastAsiaTheme="minorEastAsia"/>
              </w:rPr>
              <w:t xml:space="preserve">relative risk, adjusted for age, sex and adjustment variables. </w:t>
            </w:r>
          </w:p>
        </w:tc>
      </w:tr>
      <w:tr w:rsidR="00330CC2" w:rsidTr="00C12AE1">
        <w:tc>
          <w:tcPr>
            <w:tcW w:w="1768" w:type="dxa"/>
          </w:tcPr>
          <w:p w:rsidR="00330CC2" w:rsidRDefault="00330CC2" w:rsidP="00C12AE1">
            <w:pPr>
              <w:rPr>
                <w:rFonts w:eastAsiaTheme="minorEastAsia"/>
              </w:rPr>
            </w:pPr>
            <w:r>
              <w:rPr>
                <w:rFonts w:eastAsiaTheme="minorEastAsia"/>
              </w:rPr>
              <w:t>RRU95_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Upper bound of the 95% CI of the</w:t>
            </w:r>
            <w:r w:rsidR="00487F83">
              <w:rPr>
                <w:rFonts w:eastAsiaTheme="minorEastAsia"/>
              </w:rPr>
              <w:t xml:space="preserve"> SMR estimate of the</w:t>
            </w:r>
            <w:r>
              <w:rPr>
                <w:rFonts w:eastAsiaTheme="minorEastAsia"/>
              </w:rPr>
              <w:t xml:space="preserve"> relative risk, adjusted for age, sex and adjustment variables.</w:t>
            </w:r>
          </w:p>
        </w:tc>
      </w:tr>
    </w:tbl>
    <w:p w:rsidR="000B3223" w:rsidRPr="00330CC2" w:rsidRDefault="000B3223" w:rsidP="00BA6D27"/>
    <w:p w:rsidR="0089094E" w:rsidRPr="00920864" w:rsidRDefault="00920864" w:rsidP="00920864">
      <w:pPr>
        <w:spacing w:after="0"/>
        <w:rPr>
          <w:b/>
          <w:i/>
        </w:rPr>
      </w:pPr>
      <w:r w:rsidRPr="00920864">
        <w:rPr>
          <w:b/>
          <w:i/>
        </w:rPr>
        <w:t>Empirical Bayes</w:t>
      </w:r>
    </w:p>
    <w:p w:rsidR="00C12AE1" w:rsidRPr="006B6EBE" w:rsidRDefault="006B6EBE" w:rsidP="00F37B51">
      <w:pPr>
        <w:jc w:val="both"/>
      </w:pPr>
      <w:r>
        <w:t xml:space="preserve">The maps of the standardised mortality or incidence ratio may lead to misinterpretations, since the extreme values are more often the consequence of small counts than a true extreme </w:t>
      </w:r>
      <w:r w:rsidR="00143F14">
        <w:t xml:space="preserve">relative </w:t>
      </w:r>
      <w:r>
        <w:t>risk. Consequently, a non-significant</w:t>
      </w:r>
      <w:r w:rsidR="00143F14">
        <w:t>ly positive</w:t>
      </w:r>
      <w:r>
        <w:t xml:space="preserve"> standardized mortality risk may be higher than a significant one for which the population at risk is higher. To reduce the influence of the small counts</w:t>
      </w:r>
      <w:r w:rsidR="00143F14">
        <w:t>,</w:t>
      </w:r>
      <w:r>
        <w:t xml:space="preserve"> </w:t>
      </w:r>
      <w:r>
        <w:fldChar w:fldCharType="begin"/>
      </w:r>
      <w:r>
        <w:instrText xml:space="preserve"> ADDIN ZOTERO_ITEM CSL_CITATION {"citationID":"WIfxOg6P","properties":{"formattedCitation":"(Clayton and Kaldor 1987)","plainCitation":"(Clayton and Kaldor 1987)"},"citationItems":[{"id":227,"uris":["http://zotero.org/users/local/JzaK2LEN/items/N3CZHWSK"],"uri":["http://zotero.org/users/local/JzaK2LEN/items/N3CZHWSK"],"itemData":{"id":227,"type":"article-journal","title":"Empirical Bayes estimates of age-standardized relative risks for use in disease mapping","container-title":"Biometrics","page":"671-681","volume":"43","issue":"3","source":"NCBI PubMed","abstract":"There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districts.","ISSN":"0006-341X","note":"PMID: 3663823","journalAbbreviation":"Biometrics","language":"eng","author":[{"family":"Clayton","given":"D."},{"family":"Kaldor","given":"J."}],"issued":{"date-parts":[["1987",9]]},"PMID":"3663823"}}],"schema":"https://github.com/citation-style-language/schema/raw/master/csl-citation.json"} </w:instrText>
      </w:r>
      <w:r>
        <w:fldChar w:fldCharType="separate"/>
      </w:r>
      <w:r w:rsidRPr="00920864">
        <w:rPr>
          <w:rFonts w:ascii="Calibri" w:hAnsi="Calibri" w:cs="Calibri"/>
        </w:rPr>
        <w:t xml:space="preserve">Clayton and Kaldor </w:t>
      </w:r>
      <w:r>
        <w:rPr>
          <w:rFonts w:ascii="Calibri" w:hAnsi="Calibri" w:cs="Calibri"/>
        </w:rPr>
        <w:t>(</w:t>
      </w:r>
      <w:r w:rsidRPr="00920864">
        <w:rPr>
          <w:rFonts w:ascii="Calibri" w:hAnsi="Calibri" w:cs="Calibri"/>
        </w:rPr>
        <w:t>1987)</w:t>
      </w:r>
      <w:r>
        <w:fldChar w:fldCharType="end"/>
      </w:r>
      <w:r>
        <w:t xml:space="preserve"> proposed empirical Bayes estimates of the relative risk. </w:t>
      </w:r>
      <w:r w:rsidR="00920864">
        <w:t>They are based on a Poisson-Gamma hierarchical model</w:t>
      </w:r>
      <w:r w:rsidR="00143F14">
        <w:t>. By</w:t>
      </w:r>
      <w:r>
        <w:t xml:space="preserve"> assuming that all the relative risks are sampled in the same gamma distribution, their estimates are smoothed</w:t>
      </w:r>
      <w:r w:rsidR="00143F14">
        <w:t xml:space="preserve"> toward a global value</w:t>
      </w:r>
      <w:r>
        <w:t xml:space="preserve">. Moreover, the smaller is the count, the stronger is the shrinkage effect. </w:t>
      </w:r>
      <w:r w:rsidR="00C12AE1">
        <w:t xml:space="preserve">In </w:t>
      </w:r>
      <w:r>
        <w:t>detail</w:t>
      </w:r>
      <w:r w:rsidR="00C12AE1">
        <w:t xml:space="preserve">, relative risks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C12AE1">
        <w:rPr>
          <w:rFonts w:eastAsiaTheme="minorEastAsia"/>
        </w:rPr>
        <w:t xml:space="preserve"> are assumed to come from a single Gamma distribution of</w:t>
      </w:r>
      <w:r w:rsidR="00CD3999">
        <w:rPr>
          <w:rFonts w:eastAsiaTheme="minorEastAsia"/>
        </w:rPr>
        <w:t xml:space="preserve"> scale</w:t>
      </w:r>
      <w:r w:rsidR="00F37B51">
        <w:rPr>
          <w:rFonts w:eastAsiaTheme="minorEastAsia"/>
        </w:rPr>
        <w:t xml:space="preserve"> </w:t>
      </w:r>
      <m:oMath>
        <m:r>
          <w:rPr>
            <w:rFonts w:ascii="Cambria Math" w:eastAsiaTheme="minorEastAsia" w:hAnsi="Cambria Math"/>
          </w:rPr>
          <m:t>α</m:t>
        </m:r>
      </m:oMath>
      <w:r w:rsidR="00C12AE1">
        <w:rPr>
          <w:rFonts w:eastAsiaTheme="minorEastAsia"/>
        </w:rPr>
        <w:t xml:space="preserve"> and </w:t>
      </w:r>
      <w:proofErr w:type="gramStart"/>
      <w:r w:rsidR="00F37B51">
        <w:rPr>
          <w:rFonts w:eastAsiaTheme="minorEastAsia"/>
        </w:rPr>
        <w:t xml:space="preserve">shape </w:t>
      </w:r>
      <w:proofErr w:type="gramEnd"/>
      <m:oMath>
        <m:r>
          <w:rPr>
            <w:rFonts w:ascii="Cambria Math" w:eastAsiaTheme="minorEastAsia" w:hAnsi="Cambria Math"/>
          </w:rPr>
          <m:t>β</m:t>
        </m:r>
      </m:oMath>
      <w:r w:rsidR="00C12AE1">
        <w:rPr>
          <w:rFonts w:eastAsiaTheme="minorEastAsia"/>
        </w:rPr>
        <w:t>,</w:t>
      </w:r>
    </w:p>
    <w:p w:rsidR="00CD3999" w:rsidRPr="00C12AE1" w:rsidRDefault="007077F5" w:rsidP="00BA6D2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e>
          </m:d>
        </m:oMath>
      </m:oMathPara>
    </w:p>
    <w:p w:rsidR="00C12AE1" w:rsidRDefault="00C12AE1" w:rsidP="00C12AE1">
      <w:pPr>
        <w:jc w:val="center"/>
        <w:rPr>
          <w:rFonts w:eastAsiaTheme="minorEastAsia"/>
        </w:rPr>
      </w:p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α, β</m:t>
            </m:r>
          </m:e>
        </m:d>
      </m:oMath>
      <w:r>
        <w:rPr>
          <w:rFonts w:eastAsiaTheme="minorEastAsia"/>
        </w:rPr>
        <w:t>.</w:t>
      </w:r>
    </w:p>
    <w:p w:rsidR="00CD3999" w:rsidRDefault="00C12AE1" w:rsidP="00F37B51">
      <w:pPr>
        <w:jc w:val="both"/>
        <w:rPr>
          <w:rFonts w:eastAsiaTheme="minorEastAsia"/>
        </w:rPr>
      </w:pPr>
      <w:r>
        <w:rPr>
          <w:rFonts w:eastAsiaTheme="minorEastAsia"/>
        </w:rPr>
        <w:lastRenderedPageBreak/>
        <w:t xml:space="preserve"> </w:t>
      </w:r>
      <w:r w:rsidR="00CD3999">
        <w:rPr>
          <w:rFonts w:eastAsiaTheme="minorEastAsia"/>
        </w:rPr>
        <w:t xml:space="preserve">Approximation of the posterior mean of relative risk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CD3999">
        <w:rPr>
          <w:rFonts w:eastAsiaTheme="minorEastAsia"/>
        </w:rPr>
        <w:t xml:space="preserve"> are given by the empirical Bayes estimates, </w:t>
      </w:r>
    </w:p>
    <w:p w:rsidR="00CD3999" w:rsidRPr="00CD3999" w:rsidRDefault="00CD3999" w:rsidP="00C12AE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β</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α</m:t>
                  </m:r>
                </m:e>
              </m:acc>
            </m:den>
          </m:f>
        </m:oMath>
      </m:oMathPara>
    </w:p>
    <w:p w:rsidR="00CD3999" w:rsidRPr="00CD3999" w:rsidRDefault="00CD3999" w:rsidP="00C12AE1">
      <w:pPr>
        <w:rPr>
          <w:rFonts w:eastAsiaTheme="minorEastAsia"/>
        </w:rPr>
      </w:pPr>
      <w:proofErr w:type="gramStart"/>
      <w:r>
        <w:rPr>
          <w:rFonts w:eastAsiaTheme="minorEastAsia"/>
        </w:rPr>
        <w:t>where</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 xml:space="preserve">α </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are the maximum likelihood estimates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p>
    <w:p w:rsidR="00CD3999" w:rsidRDefault="00CD3999" w:rsidP="00C12AE1">
      <w:pPr>
        <w:rPr>
          <w:rFonts w:eastAsiaTheme="minorEastAsia"/>
        </w:rPr>
      </w:pPr>
      <w:r>
        <w:rPr>
          <w:rFonts w:eastAsiaTheme="minorEastAsia"/>
        </w:rPr>
        <w:t xml:space="preserve">In practice, these estimates of the relative risk are obtained through the following iterative procedure: </w:t>
      </w:r>
    </w:p>
    <w:p w:rsidR="00CD3999" w:rsidRDefault="00CD3999" w:rsidP="00CD3999">
      <w:pPr>
        <w:pStyle w:val="ListParagraph"/>
        <w:numPr>
          <w:ilvl w:val="0"/>
          <w:numId w:val="10"/>
        </w:numPr>
        <w:rPr>
          <w:rFonts w:eastAsiaTheme="minorEastAsia"/>
        </w:rPr>
      </w:pPr>
      <w:r>
        <w:rPr>
          <w:rFonts w:eastAsiaTheme="minorEastAsia"/>
        </w:rPr>
        <w:t xml:space="preserve">Start with initial values for the relative </w:t>
      </w:r>
      <w:proofErr w:type="gramStart"/>
      <w:r>
        <w:rPr>
          <w:rFonts w:eastAsiaTheme="minorEastAsia"/>
        </w:rPr>
        <w:t xml:space="preserve">risk </w:t>
      </w:r>
      <w:proofErr w:type="gramEnd"/>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FA7F78">
        <w:rPr>
          <w:rFonts w:eastAsiaTheme="minorEastAsia"/>
        </w:rPr>
        <w:t xml:space="preserve">. For </w:t>
      </w:r>
      <w:proofErr w:type="gramStart"/>
      <w:r w:rsidR="00FA7F78">
        <w:rPr>
          <w:rFonts w:eastAsiaTheme="minorEastAsia"/>
        </w:rPr>
        <w:t xml:space="preserve">instance </w:t>
      </w:r>
      <w:proofErr w:type="gramEnd"/>
      <m:oMath>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oMath>
      <w:r w:rsidR="00FA7F78">
        <w:rPr>
          <w:rFonts w:eastAsiaTheme="minorEastAsia"/>
        </w:rPr>
        <w:t xml:space="preserve">. </w:t>
      </w:r>
    </w:p>
    <w:p w:rsidR="00FA7F78" w:rsidRDefault="00FA7F78" w:rsidP="00FA7F78">
      <w:pPr>
        <w:pStyle w:val="ListParagraph"/>
        <w:numPr>
          <w:ilvl w:val="0"/>
          <w:numId w:val="10"/>
        </w:numPr>
        <w:rPr>
          <w:rFonts w:eastAsiaTheme="minorEastAsia"/>
        </w:rPr>
      </w:pPr>
      <w:r>
        <w:rPr>
          <w:rFonts w:eastAsiaTheme="minorEastAsia"/>
        </w:rPr>
        <w:t>Obtain estimators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using equations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acc>
              <m:accPr>
                <m:ctrlPr>
                  <w:rPr>
                    <w:rFonts w:ascii="Cambria Math" w:eastAsiaTheme="minorEastAsia" w:hAnsi="Cambria Math"/>
                    <w:i/>
                  </w:rPr>
                </m:ctrlPr>
              </m:accPr>
              <m:e>
                <m:r>
                  <w:rPr>
                    <w:rFonts w:ascii="Cambria Math" w:eastAsiaTheme="minorEastAsia" w:hAnsi="Cambria Math"/>
                  </w:rPr>
                  <m:t xml:space="preserve">β </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e>
        </m:nary>
        <m:r>
          <w:rPr>
            <w:rFonts w:ascii="Cambria Math" w:eastAsiaTheme="minorEastAsia" w:hAnsi="Cambria Math"/>
          </w:rPr>
          <m:t xml:space="preserve"> </m:t>
        </m:r>
      </m:oMath>
      <w:r w:rsidRPr="00FA7F78">
        <w:rPr>
          <w:rFonts w:eastAsiaTheme="minorEastAsia"/>
        </w:rPr>
        <w:t xml:space="preserve">and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 xml:space="preserve">β </m:t>
                    </m:r>
                  </m:e>
                </m:acc>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(1+</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r>
          <w:rPr>
            <w:rFonts w:ascii="Cambria Math" w:eastAsiaTheme="minorEastAsia" w:hAnsi="Cambria Math"/>
          </w:rPr>
          <m:t>) (</m:t>
        </m:r>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 xml:space="preserve">β </m:t>
                    </m:r>
                  </m:e>
                </m:acc>
              </m:e>
              <m:sup>
                <m:r>
                  <w:rPr>
                    <w:rFonts w:ascii="Cambria Math" w:eastAsiaTheme="minorEastAsia" w:hAnsi="Cambria Math"/>
                  </w:rPr>
                  <m:t>2</m:t>
                </m:r>
              </m:sup>
            </m:sSup>
          </m:den>
        </m:f>
        <m:r>
          <w:rPr>
            <w:rFonts w:ascii="Cambria Math" w:eastAsiaTheme="minorEastAsia" w:hAnsi="Cambria Math"/>
          </w:rPr>
          <m:t xml:space="preserve">) </m:t>
        </m:r>
      </m:oMath>
    </w:p>
    <w:p w:rsidR="00FA7F78" w:rsidRDefault="00661CAA" w:rsidP="00DC4E76">
      <w:pPr>
        <w:pStyle w:val="ListParagraph"/>
        <w:numPr>
          <w:ilvl w:val="0"/>
          <w:numId w:val="10"/>
        </w:numPr>
        <w:rPr>
          <w:rFonts w:eastAsiaTheme="minorEastAsia"/>
        </w:rPr>
      </w:pPr>
      <w:r>
        <w:rPr>
          <w:rFonts w:eastAsiaTheme="minorEastAsia"/>
        </w:rPr>
        <w:t>Obtain</w:t>
      </w:r>
      <w:r w:rsidR="00FA7F78">
        <w:rPr>
          <w:rFonts w:eastAsiaTheme="minorEastAsia"/>
        </w:rPr>
        <w:t xml:space="preserve"> new estimated values for the relative risks</w:t>
      </w:r>
      <m:oMath>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α</m:t>
                </m:r>
              </m:e>
            </m:acc>
          </m:den>
        </m:f>
      </m:oMath>
    </w:p>
    <w:p w:rsidR="00DC4E76" w:rsidRPr="00DC4E76" w:rsidRDefault="00DC4E76" w:rsidP="00DC4E76">
      <w:pPr>
        <w:pStyle w:val="ListParagraph"/>
        <w:numPr>
          <w:ilvl w:val="0"/>
          <w:numId w:val="10"/>
        </w:numPr>
        <w:rPr>
          <w:rFonts w:eastAsiaTheme="minorEastAsia"/>
        </w:rPr>
      </w:pPr>
      <w:r>
        <w:rPr>
          <w:rFonts w:eastAsiaTheme="minorEastAsia"/>
        </w:rPr>
        <w:t xml:space="preserve">Repeat steps 2 and 3 until estimated values for </w:t>
      </w:r>
      <m:oMath>
        <m:acc>
          <m:accPr>
            <m:ctrlPr>
              <w:rPr>
                <w:rFonts w:ascii="Cambria Math" w:eastAsiaTheme="minorEastAsia" w:hAnsi="Cambria Math"/>
                <w:i/>
              </w:rPr>
            </m:ctrlPr>
          </m:accPr>
          <m:e>
            <m:r>
              <w:rPr>
                <w:rFonts w:ascii="Cambria Math" w:eastAsiaTheme="minorEastAsia" w:hAnsi="Cambria Math"/>
              </w:rPr>
              <m:t xml:space="preserve">α </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do not change significantly. </w:t>
      </w:r>
    </w:p>
    <w:p w:rsidR="00DC4E76" w:rsidRPr="00DC4E76" w:rsidRDefault="00DC4E76" w:rsidP="00DC4E76">
      <w:pPr>
        <w:rPr>
          <w:rFonts w:eastAsiaTheme="minorEastAsia"/>
        </w:rPr>
      </w:pPr>
      <w:r w:rsidRPr="00DC4E76">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DC4E76" w:rsidTr="00823D8B">
        <w:tc>
          <w:tcPr>
            <w:tcW w:w="1768" w:type="dxa"/>
            <w:shd w:val="clear" w:color="auto" w:fill="EEECE1" w:themeFill="background2"/>
          </w:tcPr>
          <w:p w:rsidR="00DC4E76" w:rsidRDefault="00DC4E76" w:rsidP="00823D8B">
            <w:pPr>
              <w:rPr>
                <w:rFonts w:eastAsiaTheme="minorEastAsia"/>
              </w:rPr>
            </w:pPr>
            <w:r>
              <w:rPr>
                <w:rFonts w:eastAsiaTheme="minorEastAsia"/>
              </w:rPr>
              <w:t>Column name</w:t>
            </w:r>
          </w:p>
        </w:tc>
        <w:tc>
          <w:tcPr>
            <w:tcW w:w="7474" w:type="dxa"/>
            <w:shd w:val="clear" w:color="auto" w:fill="EEECE1" w:themeFill="background2"/>
          </w:tcPr>
          <w:p w:rsidR="00DC4E76" w:rsidRDefault="00DC4E76" w:rsidP="00823D8B">
            <w:pPr>
              <w:rPr>
                <w:rFonts w:eastAsiaTheme="minorEastAsia"/>
              </w:rPr>
            </w:pPr>
            <w:r>
              <w:rPr>
                <w:rFonts w:eastAsiaTheme="minorEastAsia"/>
              </w:rPr>
              <w:t>Description</w:t>
            </w:r>
          </w:p>
        </w:tc>
      </w:tr>
      <w:tr w:rsidR="00DC4E76" w:rsidTr="00823D8B">
        <w:tc>
          <w:tcPr>
            <w:tcW w:w="1768" w:type="dxa"/>
          </w:tcPr>
          <w:p w:rsidR="00DC4E76" w:rsidRDefault="00487F83" w:rsidP="00823D8B">
            <w:pPr>
              <w:rPr>
                <w:rFonts w:eastAsiaTheme="minorEastAsia"/>
              </w:rPr>
            </w:pPr>
            <w:r w:rsidRPr="00487F83">
              <w:rPr>
                <w:rFonts w:eastAsiaTheme="minorEastAsia"/>
              </w:rPr>
              <w:t>SMRR_UNADJ</w:t>
            </w:r>
          </w:p>
        </w:tc>
        <w:tc>
          <w:tcPr>
            <w:tcW w:w="7474" w:type="dxa"/>
          </w:tcPr>
          <w:p w:rsidR="00DC4E76" w:rsidRDefault="00487F83" w:rsidP="00823D8B">
            <w:pPr>
              <w:rPr>
                <w:rFonts w:eastAsiaTheme="minorEastAsia"/>
              </w:rPr>
            </w:pPr>
            <w:r>
              <w:rPr>
                <w:rFonts w:eastAsiaTheme="minorEastAsia"/>
              </w:rPr>
              <w:t>Empirical Bayes estimate of the relative risk, adjusted for age and sex only</w:t>
            </w:r>
          </w:p>
        </w:tc>
      </w:tr>
      <w:tr w:rsidR="00DC4E76" w:rsidTr="00823D8B">
        <w:tc>
          <w:tcPr>
            <w:tcW w:w="1768" w:type="dxa"/>
          </w:tcPr>
          <w:p w:rsidR="00DC4E76" w:rsidRDefault="00487F83" w:rsidP="00487F83">
            <w:pPr>
              <w:rPr>
                <w:rFonts w:eastAsiaTheme="minorEastAsia"/>
              </w:rPr>
            </w:pPr>
            <w:r w:rsidRPr="00487F83">
              <w:rPr>
                <w:rFonts w:eastAsiaTheme="minorEastAsia"/>
              </w:rPr>
              <w:t>SMRR_ADJ</w:t>
            </w:r>
          </w:p>
        </w:tc>
        <w:tc>
          <w:tcPr>
            <w:tcW w:w="7474" w:type="dxa"/>
          </w:tcPr>
          <w:p w:rsidR="00DC4E76" w:rsidRDefault="00487F83" w:rsidP="00823D8B">
            <w:pPr>
              <w:rPr>
                <w:rFonts w:eastAsiaTheme="minorEastAsia"/>
              </w:rPr>
            </w:pPr>
            <w:r>
              <w:rPr>
                <w:rFonts w:eastAsiaTheme="minorEastAsia"/>
              </w:rPr>
              <w:t xml:space="preserve">Empirical Bayes estimate of the relative risk, adjusted for age, sex and adjustment variables. </w:t>
            </w:r>
          </w:p>
        </w:tc>
      </w:tr>
    </w:tbl>
    <w:p w:rsidR="00DC4E76" w:rsidRPr="00DC4E76" w:rsidRDefault="00DC4E76" w:rsidP="00DC4E76">
      <w:pPr>
        <w:rPr>
          <w:rFonts w:eastAsiaTheme="minorEastAsia"/>
        </w:rPr>
      </w:pPr>
    </w:p>
    <w:p w:rsidR="00920864" w:rsidRPr="00920864" w:rsidRDefault="00FA7F78" w:rsidP="00BA6D27">
      <w:pPr>
        <w:rPr>
          <w:b/>
          <w:i/>
        </w:rPr>
      </w:pPr>
      <m:oMath>
        <m:r>
          <m:rPr>
            <m:sty m:val="bi"/>
          </m:rPr>
          <w:rPr>
            <w:rFonts w:ascii="Cambria Math" w:hAnsi="Cambria Math"/>
          </w:rPr>
          <m:t xml:space="preserve"> </m:t>
        </m:r>
      </m:oMath>
      <w:r w:rsidR="00920864" w:rsidRPr="00920864">
        <w:rPr>
          <w:b/>
          <w:i/>
        </w:rPr>
        <w:t>Bayesian smoothing</w:t>
      </w:r>
    </w:p>
    <w:p w:rsidR="008C20FF" w:rsidRDefault="008C20FF" w:rsidP="008C20FF">
      <w:pPr>
        <w:jc w:val="both"/>
        <w:rPr>
          <w:rFonts w:eastAsiaTheme="minorEastAsia"/>
        </w:rPr>
      </w:pPr>
      <w:r>
        <w:t>If we assume spatial dependence of the risk, meaning that the risks in close areas are similar, we can estimate the risk in one area with information borrowed to close areas. Since th</w:t>
      </w:r>
      <w:r w:rsidR="00823D8B">
        <w:t>ese</w:t>
      </w:r>
      <w:r>
        <w:t xml:space="preserve"> estimate</w:t>
      </w:r>
      <w:r w:rsidR="00823D8B">
        <w:t>s</w:t>
      </w:r>
      <w:r>
        <w:t xml:space="preserve"> </w:t>
      </w:r>
      <w:r w:rsidR="00823D8B">
        <w:t xml:space="preserve">are </w:t>
      </w:r>
      <w:r>
        <w:t>based on more information than SMR estimate</w:t>
      </w:r>
      <w:r w:rsidR="00823D8B">
        <w:t>s</w:t>
      </w:r>
      <w:r>
        <w:t xml:space="preserve">, </w:t>
      </w:r>
      <w:r w:rsidR="00823D8B">
        <w:t>they are</w:t>
      </w:r>
      <w:r>
        <w:t xml:space="preserve"> more robust. The BYM model </w:t>
      </w:r>
      <w:r>
        <w:fldChar w:fldCharType="begin"/>
      </w:r>
      <w:r>
        <w:instrText xml:space="preserve"> ADDIN ZOTERO_ITEM CSL_CITATION {"citationID":"iCPRfP8e","properties":{"formattedCitation":"{\\rtf (Besag, York, and Molli\\uc0\\u233{} 1991)}","plainCitation":"(Besag, York, and Mollié 1991)"},"citationItems":[{"id":91,"uris":["http://zotero.org/users/local/JzaK2LEN/items/E455P2UA"],"uri":["http://zotero.org/users/local/JzaK2LEN/items/E455P2UA"],"itemData":{"id":91,"type":"article-journal","title":"Bayesian image restoration, with two applications in spatial statistics","container-title":"Annals of the Institute of Statistical Mathematics","page":"1-20","volume":"43","issue":"1","source":"link.springer.com","abstract":"There has been much recent interest in Bayesian image analysis, including such topics as removal of blur and noise, detection of object boundaries, classification of textures, and reconstruction of two- or three-dimensional scenes from noisy lower-dimensional views. Perhaps the most straightforward task is that of image restoration, though it is often suggested that this is an area of relatively minor practical importance. The present paper argues the contrary, since many problems in the analysis of spatial data can be interpreted as problems of image restoration. Furthermore, the amounts of data involved allow routine use of computer intensive methods, such as the Gibbs sampler, that are not yet practicable for conventional images. Two examples are given, one in archeology, the other in epidemiology. These are preceded by a partial review of pixel-based Bayesian image analysis.","DOI":"10.1007/BF00116466","ISSN":"0020-3157, 1572-9052","journalAbbreviation":"Ann Inst Stat Math","language":"en","author":[{"family":"Besag","given":"Julian"},{"family":"York","given":"Jeremy"},{"family":"Mollié","given":"Annie"}],"issued":{"date-parts":[["1991",3,1]]},"accessed":{"date-parts":[["2014",8,4]]}}}],"schema":"https://github.com/citation-style-language/schema/raw/master/csl-citation.json"} </w:instrText>
      </w:r>
      <w:r>
        <w:fldChar w:fldCharType="separate"/>
      </w:r>
      <w:r w:rsidRPr="00032380">
        <w:rPr>
          <w:rFonts w:ascii="Calibri" w:hAnsi="Calibri" w:cs="Calibri"/>
          <w:sz w:val="20"/>
          <w:szCs w:val="24"/>
        </w:rPr>
        <w:t>(Besag, York, and Mollié 1991)</w:t>
      </w:r>
      <w:r>
        <w:fldChar w:fldCharType="end"/>
      </w:r>
      <w:r>
        <w:t xml:space="preserve"> has been developed in this aim. First, one must consider a neighbouring graph which specifies the neighboured relationships between areas. Here, we denotes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the set neighbours for </w:t>
      </w:r>
      <w:proofErr w:type="gramStart"/>
      <w:r>
        <w:rPr>
          <w:rFonts w:eastAsiaTheme="minorEastAsia"/>
        </w:rPr>
        <w:t xml:space="preserve">area </w:t>
      </w:r>
      <w:proofErr w:type="gramEnd"/>
      <m:oMath>
        <m:r>
          <w:rPr>
            <w:rFonts w:ascii="Cambria Math" w:eastAsiaTheme="minorEastAsia" w:hAnsi="Cambria Math"/>
          </w:rPr>
          <m:t>i</m:t>
        </m:r>
      </m:oMath>
      <w:r>
        <w:rPr>
          <w:rFonts w:eastAsiaTheme="minorEastAsia"/>
        </w:rPr>
        <w:t xml:space="preserve">. The log relative risk is then split into two terms,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a spatial term which accounts for the spatial variations within the risk,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 noise which accounts for independent </w:t>
      </w:r>
      <w:r w:rsidR="00B0600B">
        <w:rPr>
          <w:rFonts w:eastAsiaTheme="minorEastAsia"/>
        </w:rPr>
        <w:t>local variations,</w:t>
      </w:r>
    </w:p>
    <w:p w:rsidR="00B0600B" w:rsidRDefault="007077F5" w:rsidP="008C20FF">
      <w:pPr>
        <w:jc w:val="both"/>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RR</m:t>
                      </m:r>
                    </m:e>
                    <m:sub>
                      <m:r>
                        <w:rPr>
                          <w:rFonts w:ascii="Cambria Math" w:eastAsiaTheme="minorEastAsia" w:hAnsi="Cambria Math"/>
                        </w:rPr>
                        <m:t>i</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rsidR="00B0600B" w:rsidRDefault="008C20FF" w:rsidP="008C20FF">
      <w:pPr>
        <w:jc w:val="both"/>
        <w:rPr>
          <w:rFonts w:eastAsiaTheme="minorEastAsia"/>
        </w:rPr>
      </w:pPr>
      <w:r>
        <w:t xml:space="preserve">The spatial term is modelled with an intrinsic conditional auto-regressive model, meaning that for each </w:t>
      </w:r>
      <w:proofErr w:type="gramStart"/>
      <w:r w:rsidR="00B0600B">
        <w:t>area</w:t>
      </w:r>
      <w:r>
        <w:t xml:space="preserve"> </w:t>
      </w:r>
      <w:proofErr w:type="gramEnd"/>
      <m:oMath>
        <m:r>
          <w:rPr>
            <w:rFonts w:ascii="Cambria Math"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given conditionally to its neighbours. Specifically, it is assumed to follow a normal distribution with mean, the neighbour mean and variance, a variance parameter,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oMath>
      <w:r>
        <w:rPr>
          <w:rFonts w:eastAsiaTheme="minorEastAsia"/>
        </w:rPr>
        <w:t xml:space="preserve">, divided by the number of neighbours,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B0600B">
        <w:rPr>
          <w:rFonts w:eastAsiaTheme="minorEastAsia"/>
        </w:rPr>
        <w:t xml:space="preserve">, </w:t>
      </w:r>
    </w:p>
    <w:p w:rsidR="00B0600B" w:rsidRPr="00B0600B" w:rsidRDefault="007077F5" w:rsidP="008C20F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 xml:space="preserve"> </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e>
          </m:d>
          <m:r>
            <w:rPr>
              <w:rFonts w:ascii="Cambria Math" w:eastAsiaTheme="minorEastAsia" w:hAnsi="Cambria Math"/>
            </w:rPr>
            <m:t>.</m:t>
          </m:r>
        </m:oMath>
      </m:oMathPara>
    </w:p>
    <w:p w:rsidR="00B0600B" w:rsidRDefault="008C20FF" w:rsidP="008C20FF">
      <w:pPr>
        <w:jc w:val="both"/>
        <w:rPr>
          <w:rFonts w:eastAsiaTheme="minorEastAsia"/>
        </w:rPr>
      </w:pPr>
      <w:r>
        <w:rPr>
          <w:rFonts w:eastAsiaTheme="minorEastAsia"/>
        </w:rPr>
        <w:t xml:space="preserve">The larger is the number of neighbours, the </w:t>
      </w:r>
      <w:r w:rsidR="00B0600B">
        <w:rPr>
          <w:rFonts w:eastAsiaTheme="minorEastAsia"/>
        </w:rPr>
        <w:t xml:space="preserve">smaller is the variance. </w:t>
      </w:r>
      <w:r>
        <w:t xml:space="preserve">The Gaussian noises,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are supposed to be independ</w:t>
      </w:r>
      <w:r w:rsidR="00B0600B">
        <w:rPr>
          <w:rFonts w:eastAsiaTheme="minorEastAsia"/>
        </w:rPr>
        <w:t xml:space="preserve">ent </w:t>
      </w:r>
      <w:r w:rsidR="006D5237">
        <w:rPr>
          <w:rFonts w:eastAsiaTheme="minorEastAsia"/>
        </w:rPr>
        <w:t xml:space="preserve">and identically distributed with variance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oMath>
      <w:r w:rsidR="00B0600B">
        <w:rPr>
          <w:rFonts w:eastAsiaTheme="minorEastAsia"/>
        </w:rPr>
        <w:t>.</w:t>
      </w:r>
    </w:p>
    <w:p w:rsidR="00E5169B" w:rsidRDefault="00B0600B" w:rsidP="00133C12">
      <w:pPr>
        <w:jc w:val="both"/>
      </w:pPr>
      <w:r>
        <w:lastRenderedPageBreak/>
        <w:t xml:space="preserve">One can consider the map of the uniquely spatially structured term given by </w:t>
      </w:r>
      <w:r w:rsidR="008C20FF">
        <w:t>(</w:t>
      </w:r>
      <m:oMath>
        <m:r>
          <m:rPr>
            <m:sty m:val="p"/>
          </m:rPr>
          <w:rPr>
            <w:rFonts w:ascii="Cambria Math" w:eastAsiaTheme="minorEastAsia" w:hAnsi="Cambria Math"/>
          </w:rPr>
          <m:t>exp⁡</m:t>
        </m:r>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008C20FF">
        <w:t>)</w:t>
      </w:r>
      <w:r>
        <w:t xml:space="preserve">. They display uniquely the part of the risk </w:t>
      </w:r>
      <w:r w:rsidR="004B1614">
        <w:t>which has a smooth spatial distribution</w:t>
      </w:r>
      <w:r w:rsidR="00924AFD">
        <w:t>. The</w:t>
      </w:r>
      <w:r w:rsidR="004B1614">
        <w:t xml:space="preserve"> independent term is then seen as residual. But one can also consider </w:t>
      </w:r>
      <w:r w:rsidR="00E5169B">
        <w:t>the estimate of the entire relative risk which lead</w:t>
      </w:r>
      <w:r w:rsidR="006D5237">
        <w:t>s</w:t>
      </w:r>
      <w:r w:rsidR="00E5169B">
        <w:t xml:space="preserve"> to robust estimate thanks to the spatial CAR term, but also </w:t>
      </w:r>
      <w:r w:rsidR="00924AFD">
        <w:t>allows individual</w:t>
      </w:r>
      <w:r w:rsidR="00E5169B">
        <w:t xml:space="preserve"> variability.</w:t>
      </w:r>
    </w:p>
    <w:p w:rsidR="008129FC" w:rsidRDefault="00823D8B" w:rsidP="00133C12">
      <w:pPr>
        <w:pStyle w:val="ListParagraph"/>
        <w:ind w:left="0"/>
        <w:jc w:val="both"/>
        <w:rPr>
          <w:rFonts w:eastAsiaTheme="minorEastAsia"/>
        </w:rPr>
      </w:pPr>
      <w:r>
        <w:rPr>
          <w:rFonts w:eastAsiaTheme="minorEastAsia"/>
        </w:rPr>
        <w:t xml:space="preserve">Other models are also proposed in the RIF, the ‘CAR’ model, in which the log relative risk is only modelled by the conditional autoregressive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term. In this model, the relative risk is assumed to be spatially smooth without any local independent variations. </w:t>
      </w:r>
      <w:r w:rsidR="00133C12">
        <w:rPr>
          <w:rFonts w:eastAsiaTheme="minorEastAsia"/>
        </w:rPr>
        <w:t>In the CAR and the BYM model, estimates are smoothed</w:t>
      </w:r>
      <w:r w:rsidR="006D5237">
        <w:rPr>
          <w:rFonts w:eastAsiaTheme="minorEastAsia"/>
        </w:rPr>
        <w:t xml:space="preserve"> towards</w:t>
      </w:r>
      <w:r w:rsidR="00133C12">
        <w:rPr>
          <w:rFonts w:eastAsiaTheme="minorEastAsia"/>
        </w:rPr>
        <w:t xml:space="preserve"> a local mean.</w:t>
      </w:r>
    </w:p>
    <w:p w:rsidR="008129FC" w:rsidRDefault="008129FC" w:rsidP="00133C12">
      <w:pPr>
        <w:pStyle w:val="ListParagraph"/>
        <w:ind w:left="0"/>
        <w:jc w:val="both"/>
        <w:rPr>
          <w:rFonts w:eastAsiaTheme="minorEastAsia"/>
        </w:rPr>
      </w:pPr>
      <w:r>
        <w:rPr>
          <w:rFonts w:eastAsiaTheme="minorEastAsia"/>
        </w:rPr>
        <w:t xml:space="preserve">Finally the ‘HET’ model is also proposed. In this model, the log relative risk is only composed of the independent </w:t>
      </w:r>
      <w:proofErr w:type="gramStart"/>
      <w:r>
        <w:rPr>
          <w:rFonts w:eastAsiaTheme="minorEastAsia"/>
        </w:rPr>
        <w:t xml:space="preserve">term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t>
      </w:r>
      <w:r w:rsidR="00133C12">
        <w:rPr>
          <w:rFonts w:eastAsiaTheme="minorEastAsia"/>
        </w:rPr>
        <w:t>As for empirical Bayes estimates, with this model the log relative risk estimates are smoothed toward a global mean. These two models are thus similar, they only differ by their prior (Gaussian vs gamma), and their inference method (fully Bayesian vs empirical Bayes).</w:t>
      </w:r>
    </w:p>
    <w:p w:rsidR="008129FC" w:rsidRDefault="008129FC" w:rsidP="008C20FF">
      <w:pPr>
        <w:pStyle w:val="ListParagraph"/>
        <w:ind w:left="0"/>
        <w:rPr>
          <w:rFonts w:eastAsiaTheme="minorEastAsia"/>
        </w:rPr>
      </w:pPr>
    </w:p>
    <w:p w:rsidR="00133C12" w:rsidRDefault="00133C12" w:rsidP="008C20FF">
      <w:pPr>
        <w:pStyle w:val="ListParagraph"/>
        <w:ind w:left="0"/>
        <w:rPr>
          <w:rFonts w:eastAsiaTheme="minorEastAsia"/>
        </w:rPr>
      </w:pPr>
      <w:r>
        <w:rPr>
          <w:rFonts w:eastAsiaTheme="minorEastAsia"/>
          <w:i/>
        </w:rPr>
        <w:t>Prior</w:t>
      </w:r>
      <w:r w:rsidRPr="00133C12">
        <w:rPr>
          <w:rFonts w:eastAsiaTheme="minorEastAsia"/>
          <w:i/>
        </w:rPr>
        <w:t xml:space="preserve"> specification</w:t>
      </w:r>
    </w:p>
    <w:p w:rsidR="000D535C" w:rsidRPr="00133C12" w:rsidRDefault="000D535C" w:rsidP="008C20FF">
      <w:pPr>
        <w:pStyle w:val="ListParagraph"/>
        <w:ind w:left="0"/>
        <w:rPr>
          <w:rFonts w:eastAsiaTheme="minorEastAsia"/>
        </w:rPr>
      </w:pPr>
      <w:r>
        <w:rPr>
          <w:rFonts w:eastAsiaTheme="minorEastAsia"/>
        </w:rPr>
        <w:t xml:space="preserve">Independent inverse gamma </w:t>
      </w:r>
      <m:oMath>
        <m:r>
          <w:rPr>
            <w:rFonts w:ascii="Cambria Math" w:eastAsiaTheme="minorEastAsia" w:hAnsi="Cambria Math"/>
          </w:rPr>
          <m:t>IGamma(0.5,0.0005)</m:t>
        </m:r>
      </m:oMath>
      <w:r>
        <w:rPr>
          <w:rFonts w:eastAsiaTheme="minorEastAsia"/>
        </w:rPr>
        <w:t xml:space="preserve"> priors are assigned to the model parameters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oMath>
      <w:r>
        <w:rPr>
          <w:rFonts w:eastAsiaTheme="minorEastAsia"/>
        </w:rPr>
        <w:t xml:space="preserve"> </w:t>
      </w:r>
      <w:proofErr w:type="gramStart"/>
      <w:r>
        <w:rPr>
          <w:rFonts w:eastAsiaTheme="minorEastAsia"/>
        </w:rPr>
        <w:t xml:space="preserve">and </w:t>
      </w:r>
      <w:proofErr w:type="gramEnd"/>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oMath>
      <w:r>
        <w:rPr>
          <w:rFonts w:eastAsiaTheme="minorEastAsia"/>
        </w:rPr>
        <w:t xml:space="preserve">. </w:t>
      </w:r>
    </w:p>
    <w:p w:rsidR="00256CEA" w:rsidRPr="00330CC2" w:rsidRDefault="00256CEA" w:rsidP="00256CEA">
      <w:pPr>
        <w:rPr>
          <w:rFonts w:eastAsiaTheme="minorEastAsia"/>
        </w:rPr>
      </w:pPr>
      <w:r w:rsidRPr="00330CC2">
        <w:rPr>
          <w:rFonts w:eastAsiaTheme="minorEastAsia"/>
          <w:i/>
        </w:rPr>
        <w:t>Variable names:</w:t>
      </w:r>
    </w:p>
    <w:tbl>
      <w:tblPr>
        <w:tblStyle w:val="TableGrid"/>
        <w:tblW w:w="0" w:type="auto"/>
        <w:tblLook w:val="04A0" w:firstRow="1" w:lastRow="0" w:firstColumn="1" w:lastColumn="0" w:noHBand="0" w:noVBand="1"/>
      </w:tblPr>
      <w:tblGrid>
        <w:gridCol w:w="2242"/>
        <w:gridCol w:w="7000"/>
      </w:tblGrid>
      <w:tr w:rsidR="00256CEA" w:rsidTr="00256CEA">
        <w:tc>
          <w:tcPr>
            <w:tcW w:w="2242" w:type="dxa"/>
            <w:shd w:val="clear" w:color="auto" w:fill="EEECE1" w:themeFill="background2"/>
          </w:tcPr>
          <w:p w:rsidR="00256CEA" w:rsidRDefault="00256CEA" w:rsidP="008805F2">
            <w:pPr>
              <w:rPr>
                <w:rFonts w:eastAsiaTheme="minorEastAsia"/>
              </w:rPr>
            </w:pPr>
            <w:r>
              <w:rPr>
                <w:rFonts w:eastAsiaTheme="minorEastAsia"/>
              </w:rPr>
              <w:t>Column name</w:t>
            </w:r>
          </w:p>
        </w:tc>
        <w:tc>
          <w:tcPr>
            <w:tcW w:w="7000" w:type="dxa"/>
            <w:shd w:val="clear" w:color="auto" w:fill="EEECE1" w:themeFill="background2"/>
          </w:tcPr>
          <w:p w:rsidR="00256CEA" w:rsidRDefault="00256CEA" w:rsidP="008805F2">
            <w:pPr>
              <w:rPr>
                <w:rFonts w:eastAsiaTheme="minorEastAsia"/>
              </w:rPr>
            </w:pPr>
            <w:r>
              <w:rPr>
                <w:rFonts w:eastAsiaTheme="minorEastAsia"/>
              </w:rPr>
              <w:t>Description</w:t>
            </w:r>
          </w:p>
        </w:tc>
      </w:tr>
      <w:tr w:rsidR="00256CEA" w:rsidTr="00256CEA">
        <w:tc>
          <w:tcPr>
            <w:tcW w:w="2242" w:type="dxa"/>
          </w:tcPr>
          <w:p w:rsidR="00256CEA" w:rsidRDefault="00256CEA" w:rsidP="008805F2">
            <w:pPr>
              <w:rPr>
                <w:rFonts w:eastAsiaTheme="minorEastAsia"/>
              </w:rPr>
            </w:pPr>
            <w:proofErr w:type="spellStart"/>
            <w:r w:rsidRPr="00256CEA">
              <w:rPr>
                <w:rFonts w:eastAsiaTheme="minorEastAsia"/>
              </w:rPr>
              <w:t>BYM_ssRR_UNADJ</w:t>
            </w:r>
            <w:proofErr w:type="spellEnd"/>
          </w:p>
        </w:tc>
        <w:tc>
          <w:tcPr>
            <w:tcW w:w="7000" w:type="dxa"/>
          </w:tcPr>
          <w:p w:rsidR="00256CEA" w:rsidRDefault="00256CEA" w:rsidP="00256CEA">
            <w:pPr>
              <w:rPr>
                <w:rFonts w:eastAsiaTheme="minorEastAsia"/>
              </w:rPr>
            </w:pPr>
            <w:r>
              <w:t>Relative risk estimate obtained with the spatially structured term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BYM_ssRRL95_UNADJ</w:t>
            </w:r>
          </w:p>
        </w:tc>
        <w:tc>
          <w:tcPr>
            <w:tcW w:w="7000" w:type="dxa"/>
          </w:tcPr>
          <w:p w:rsidR="00256CEA" w:rsidRDefault="00256CEA" w:rsidP="008805F2">
            <w:pPr>
              <w:rPr>
                <w:rFonts w:eastAsiaTheme="minorEastAsia"/>
              </w:rPr>
            </w:pPr>
            <w:r>
              <w:rPr>
                <w:rFonts w:eastAsiaTheme="minorEastAsia"/>
              </w:rPr>
              <w:t xml:space="preserve">Lower bound of the 95% CI of the relative risk estimate </w:t>
            </w:r>
            <w:r w:rsidRPr="00256CEA">
              <w:rPr>
                <w:rFonts w:eastAsiaTheme="minorEastAsia"/>
              </w:rPr>
              <w:t>obtained with the spatially structured term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BYM_ssRRU95_UNADJ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estimated obtained with the spatially structured term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BYM_RR_UNADJ</w:t>
            </w:r>
          </w:p>
        </w:tc>
        <w:tc>
          <w:tcPr>
            <w:tcW w:w="7000" w:type="dxa"/>
          </w:tcPr>
          <w:p w:rsidR="00256CEA" w:rsidRDefault="00256CEA" w:rsidP="008805F2">
            <w:pPr>
              <w:rPr>
                <w:rFonts w:eastAsiaTheme="minorEastAsia"/>
              </w:rPr>
            </w:pPr>
            <w:r>
              <w:rPr>
                <w:rFonts w:eastAsiaTheme="minorEastAsia"/>
              </w:rPr>
              <w:t>Relative risk estimate obtained with the BYM model, adjusted for sex and age only.</w:t>
            </w:r>
          </w:p>
        </w:tc>
      </w:tr>
      <w:tr w:rsidR="00256CEA" w:rsidTr="00256CEA">
        <w:tc>
          <w:tcPr>
            <w:tcW w:w="2242" w:type="dxa"/>
          </w:tcPr>
          <w:p w:rsidR="00256CEA" w:rsidRPr="00330CC2" w:rsidRDefault="00256CEA" w:rsidP="008805F2">
            <w:pPr>
              <w:rPr>
                <w:rFonts w:eastAsiaTheme="minorEastAsia"/>
              </w:rPr>
            </w:pPr>
            <w:r w:rsidRPr="00256CEA">
              <w:rPr>
                <w:rFonts w:eastAsiaTheme="minorEastAsia"/>
              </w:rPr>
              <w:t>BYM_RRL95_UNADJ</w:t>
            </w:r>
          </w:p>
        </w:tc>
        <w:tc>
          <w:tcPr>
            <w:tcW w:w="7000" w:type="dxa"/>
          </w:tcPr>
          <w:p w:rsidR="00256CEA" w:rsidRDefault="00256CEA" w:rsidP="008805F2">
            <w:pPr>
              <w:rPr>
                <w:rFonts w:eastAsiaTheme="minorEastAsia"/>
              </w:rPr>
            </w:pPr>
            <w:r w:rsidRPr="00256CEA">
              <w:rPr>
                <w:rFonts w:eastAsiaTheme="minorEastAsia"/>
              </w:rPr>
              <w:t>Lower bound of the 95% CI of the relative risk estimate</w:t>
            </w:r>
            <w:r>
              <w:rPr>
                <w:rFonts w:eastAsiaTheme="minorEastAsia"/>
              </w:rPr>
              <w:t xml:space="preserve"> obtained with the BYM model,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BYM_RRU95_UNADJ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w:t>
            </w:r>
            <w:r>
              <w:rPr>
                <w:rFonts w:eastAsiaTheme="minorEastAsia"/>
              </w:rPr>
              <w:t xml:space="preserve"> obtained with the BYM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HET</w:t>
            </w:r>
            <w:r w:rsidRPr="00256CEA">
              <w:rPr>
                <w:rFonts w:eastAsiaTheme="minorEastAsia"/>
              </w:rPr>
              <w:t>_RR_UNADJ</w:t>
            </w:r>
          </w:p>
        </w:tc>
        <w:tc>
          <w:tcPr>
            <w:tcW w:w="7000" w:type="dxa"/>
          </w:tcPr>
          <w:p w:rsidR="00256CEA" w:rsidRDefault="00256CEA" w:rsidP="00256CEA">
            <w:pPr>
              <w:rPr>
                <w:rFonts w:eastAsiaTheme="minorEastAsia"/>
              </w:rPr>
            </w:pPr>
            <w:r w:rsidRPr="00256CEA">
              <w:rPr>
                <w:rFonts w:eastAsiaTheme="minorEastAsia"/>
              </w:rPr>
              <w:t xml:space="preserve">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Pr="00330CC2" w:rsidRDefault="00256CEA" w:rsidP="008805F2">
            <w:pPr>
              <w:rPr>
                <w:rFonts w:eastAsiaTheme="minorEastAsia"/>
              </w:rPr>
            </w:pPr>
            <w:r>
              <w:rPr>
                <w:rFonts w:eastAsiaTheme="minorEastAsia"/>
              </w:rPr>
              <w:t>HET</w:t>
            </w:r>
            <w:r w:rsidRPr="00256CEA">
              <w:rPr>
                <w:rFonts w:eastAsiaTheme="minorEastAsia"/>
              </w:rPr>
              <w:t>_RRL95_UNADJ</w:t>
            </w:r>
          </w:p>
        </w:tc>
        <w:tc>
          <w:tcPr>
            <w:tcW w:w="7000" w:type="dxa"/>
          </w:tcPr>
          <w:p w:rsidR="00256CEA" w:rsidRDefault="00256CEA" w:rsidP="00256CEA">
            <w:pPr>
              <w:rPr>
                <w:rFonts w:eastAsiaTheme="minorEastAsia"/>
              </w:rPr>
            </w:pPr>
            <w:r w:rsidRPr="00256CEA">
              <w:rPr>
                <w:rFonts w:eastAsiaTheme="minorEastAsia"/>
              </w:rPr>
              <w:t xml:space="preserve">Lower bound of the 95% CI of the 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HET</w:t>
            </w:r>
            <w:r w:rsidRPr="00256CEA">
              <w:rPr>
                <w:rFonts w:eastAsiaTheme="minorEastAsia"/>
              </w:rPr>
              <w:t>_RRU95_UNADJ</w:t>
            </w:r>
          </w:p>
        </w:tc>
        <w:tc>
          <w:tcPr>
            <w:tcW w:w="7000" w:type="dxa"/>
          </w:tcPr>
          <w:p w:rsidR="00256CEA" w:rsidRDefault="00256CEA" w:rsidP="00256CEA">
            <w:pPr>
              <w:rPr>
                <w:rFonts w:eastAsiaTheme="minorEastAsia"/>
              </w:rPr>
            </w:pPr>
            <w:r w:rsidRPr="00256CEA">
              <w:rPr>
                <w:rFonts w:eastAsiaTheme="minorEastAsia"/>
              </w:rPr>
              <w:t xml:space="preserve">Upper bound of the 95% CI of the 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CAR</w:t>
            </w:r>
            <w:r w:rsidRPr="00256CEA">
              <w:rPr>
                <w:rFonts w:eastAsiaTheme="minorEastAsia"/>
              </w:rPr>
              <w:t>_RR_UNADJ</w:t>
            </w:r>
          </w:p>
        </w:tc>
        <w:tc>
          <w:tcPr>
            <w:tcW w:w="7000" w:type="dxa"/>
          </w:tcPr>
          <w:p w:rsidR="00256CEA" w:rsidRDefault="00256CEA" w:rsidP="00256CEA">
            <w:pPr>
              <w:rPr>
                <w:rFonts w:eastAsiaTheme="minorEastAsia"/>
              </w:rPr>
            </w:pPr>
            <w:r w:rsidRPr="00256CEA">
              <w:rPr>
                <w:rFonts w:eastAsiaTheme="minorEastAsia"/>
              </w:rPr>
              <w:t xml:space="preserve">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Pr="00330CC2" w:rsidRDefault="00256CEA" w:rsidP="008805F2">
            <w:pPr>
              <w:rPr>
                <w:rFonts w:eastAsiaTheme="minorEastAsia"/>
              </w:rPr>
            </w:pPr>
            <w:r>
              <w:rPr>
                <w:rFonts w:eastAsiaTheme="minorEastAsia"/>
              </w:rPr>
              <w:t>CAR</w:t>
            </w:r>
            <w:r w:rsidRPr="00256CEA">
              <w:rPr>
                <w:rFonts w:eastAsiaTheme="minorEastAsia"/>
              </w:rPr>
              <w:t>_RRL95_UNADJ</w:t>
            </w:r>
          </w:p>
        </w:tc>
        <w:tc>
          <w:tcPr>
            <w:tcW w:w="7000" w:type="dxa"/>
          </w:tcPr>
          <w:p w:rsidR="00256CEA" w:rsidRDefault="00256CEA" w:rsidP="00256CEA">
            <w:pPr>
              <w:rPr>
                <w:rFonts w:eastAsiaTheme="minorEastAsia"/>
              </w:rPr>
            </w:pPr>
            <w:r w:rsidRPr="00256CEA">
              <w:rPr>
                <w:rFonts w:eastAsiaTheme="minorEastAsia"/>
              </w:rPr>
              <w:t xml:space="preserve">Lower bound of the 95% CI of the 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CAR</w:t>
            </w:r>
            <w:r w:rsidRPr="00256CEA">
              <w:rPr>
                <w:rFonts w:eastAsiaTheme="minorEastAsia"/>
              </w:rPr>
              <w:t>_RRU95_UNADJ</w:t>
            </w:r>
          </w:p>
        </w:tc>
        <w:tc>
          <w:tcPr>
            <w:tcW w:w="7000" w:type="dxa"/>
          </w:tcPr>
          <w:p w:rsidR="00256CEA" w:rsidRDefault="00256CEA" w:rsidP="00256CEA">
            <w:pPr>
              <w:rPr>
                <w:rFonts w:eastAsiaTheme="minorEastAsia"/>
              </w:rPr>
            </w:pPr>
            <w:r w:rsidRPr="00256CEA">
              <w:rPr>
                <w:rFonts w:eastAsiaTheme="minorEastAsia"/>
              </w:rPr>
              <w:t xml:space="preserve">Upper bound of the 95% CI of the 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proofErr w:type="spellStart"/>
            <w:r>
              <w:rPr>
                <w:rFonts w:eastAsiaTheme="minorEastAsia"/>
              </w:rPr>
              <w:t>BYM_ssRR_</w:t>
            </w:r>
            <w:r w:rsidRPr="00256CEA">
              <w:rPr>
                <w:rFonts w:eastAsiaTheme="minorEastAsia"/>
              </w:rPr>
              <w:t>ADJ</w:t>
            </w:r>
            <w:proofErr w:type="spellEnd"/>
          </w:p>
        </w:tc>
        <w:tc>
          <w:tcPr>
            <w:tcW w:w="7000" w:type="dxa"/>
          </w:tcPr>
          <w:p w:rsidR="00256CEA" w:rsidRDefault="00256CEA" w:rsidP="00256CEA">
            <w:pPr>
              <w:rPr>
                <w:rFonts w:eastAsiaTheme="minorEastAsia"/>
              </w:rPr>
            </w:pPr>
            <w:r>
              <w:t>Relative risk estimate obtained with the spatially structured term of the BYM model uniquely, adjusted for 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lastRenderedPageBreak/>
              <w:t>BYM_ssRRL95_</w:t>
            </w:r>
            <w:r w:rsidR="00256CEA" w:rsidRPr="00256CEA">
              <w:rPr>
                <w:rFonts w:eastAsiaTheme="minorEastAsia"/>
              </w:rPr>
              <w:t>ADJ</w:t>
            </w:r>
          </w:p>
        </w:tc>
        <w:tc>
          <w:tcPr>
            <w:tcW w:w="7000" w:type="dxa"/>
          </w:tcPr>
          <w:p w:rsidR="00256CEA" w:rsidRDefault="00256CEA" w:rsidP="008B4117">
            <w:pPr>
              <w:rPr>
                <w:rFonts w:eastAsiaTheme="minorEastAsia"/>
              </w:rPr>
            </w:pPr>
            <w:r>
              <w:rPr>
                <w:rFonts w:eastAsiaTheme="minorEastAsia"/>
              </w:rPr>
              <w:t xml:space="preserve">Lower bound of the 95% CI of the relative risk estimate </w:t>
            </w:r>
            <w:r w:rsidRPr="00256CEA">
              <w:rPr>
                <w:rFonts w:eastAsiaTheme="minorEastAsia"/>
              </w:rPr>
              <w:t xml:space="preserve">obtained with the spatially structured term of the BYM model uniquely,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BYM_ssRRU95_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estimated obtained with the spatially structured term of the BYM model uniquely,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BYM_RR_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 xml:space="preserve">Relative risk estimate obtained with the BYM model, adjusted for </w:t>
            </w:r>
            <w:r w:rsidR="008B4117">
              <w:t>sex, age and adjustment variables.</w:t>
            </w:r>
          </w:p>
        </w:tc>
      </w:tr>
      <w:tr w:rsidR="00256CEA" w:rsidTr="00256CEA">
        <w:tc>
          <w:tcPr>
            <w:tcW w:w="2242" w:type="dxa"/>
          </w:tcPr>
          <w:p w:rsidR="00256CEA" w:rsidRPr="00330CC2" w:rsidRDefault="008B4117" w:rsidP="008805F2">
            <w:pPr>
              <w:rPr>
                <w:rFonts w:eastAsiaTheme="minorEastAsia"/>
              </w:rPr>
            </w:pPr>
            <w:r>
              <w:rPr>
                <w:rFonts w:eastAsiaTheme="minorEastAsia"/>
              </w:rPr>
              <w:t>BYM_RRL95_</w:t>
            </w:r>
            <w:r w:rsidR="00256CEA"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Lower bound of the 95% CI of the relative risk estimate</w:t>
            </w:r>
            <w:r>
              <w:rPr>
                <w:rFonts w:eastAsiaTheme="minorEastAsia"/>
              </w:rPr>
              <w:t xml:space="preserve"> obtained with the BYM model,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BYM_RRU95_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w:t>
            </w:r>
            <w:r>
              <w:rPr>
                <w:rFonts w:eastAsiaTheme="minorEastAsia"/>
              </w:rPr>
              <w:t xml:space="preserve"> obtained with the BYM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HET</w:t>
            </w:r>
            <w:r w:rsidR="008B4117">
              <w:rPr>
                <w:rFonts w:eastAsiaTheme="minorEastAsia"/>
              </w:rPr>
              <w:t>_RR_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Pr="00330CC2" w:rsidRDefault="00256CEA" w:rsidP="008805F2">
            <w:pPr>
              <w:rPr>
                <w:rFonts w:eastAsiaTheme="minorEastAsia"/>
              </w:rPr>
            </w:pPr>
            <w:r>
              <w:rPr>
                <w:rFonts w:eastAsiaTheme="minorEastAsia"/>
              </w:rPr>
              <w:t>HET</w:t>
            </w:r>
            <w:r w:rsidR="008B4117">
              <w:rPr>
                <w:rFonts w:eastAsiaTheme="minorEastAsia"/>
              </w:rPr>
              <w:t>_RRL95_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Lower bound of the 95% CI of the 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HET</w:t>
            </w:r>
            <w:r w:rsidR="008B4117">
              <w:rPr>
                <w:rFonts w:eastAsiaTheme="minorEastAsia"/>
              </w:rPr>
              <w:t>_RRU95_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Upper bound of the 95% CI of the 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CAR</w:t>
            </w:r>
            <w:r w:rsidR="008B4117">
              <w:rPr>
                <w:rFonts w:eastAsiaTheme="minorEastAsia"/>
              </w:rPr>
              <w:t>_RR_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Pr="00330CC2" w:rsidRDefault="00256CEA" w:rsidP="008805F2">
            <w:pPr>
              <w:rPr>
                <w:rFonts w:eastAsiaTheme="minorEastAsia"/>
              </w:rPr>
            </w:pPr>
            <w:r>
              <w:rPr>
                <w:rFonts w:eastAsiaTheme="minorEastAsia"/>
              </w:rPr>
              <w:t>CAR</w:t>
            </w:r>
            <w:r w:rsidR="008B4117">
              <w:rPr>
                <w:rFonts w:eastAsiaTheme="minorEastAsia"/>
              </w:rPr>
              <w:t>_RRL95_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Lower bound of the 95% CI of the 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CAR</w:t>
            </w:r>
            <w:r w:rsidR="008B4117">
              <w:rPr>
                <w:rFonts w:eastAsiaTheme="minorEastAsia"/>
              </w:rPr>
              <w:t>_RRU95_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Upper bound of the 95% CI of the 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bl>
    <w:p w:rsidR="00256CEA" w:rsidRPr="00330CC2" w:rsidRDefault="00256CEA" w:rsidP="00256CEA"/>
    <w:p w:rsidR="007753B1" w:rsidRPr="00330CC2" w:rsidRDefault="007753B1" w:rsidP="00BA6D27">
      <w:pPr>
        <w:rPr>
          <w:rFonts w:eastAsiaTheme="minorEastAsia"/>
        </w:rPr>
      </w:pPr>
    </w:p>
    <w:sectPr w:rsidR="007753B1" w:rsidRPr="00330CC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7F5" w:rsidRDefault="007077F5" w:rsidP="007077F5">
      <w:pPr>
        <w:spacing w:after="0" w:line="240" w:lineRule="auto"/>
      </w:pPr>
      <w:r>
        <w:separator/>
      </w:r>
    </w:p>
  </w:endnote>
  <w:endnote w:type="continuationSeparator" w:id="0">
    <w:p w:rsidR="007077F5" w:rsidRDefault="007077F5" w:rsidP="0070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152373"/>
      <w:docPartObj>
        <w:docPartGallery w:val="Page Numbers (Bottom of Page)"/>
        <w:docPartUnique/>
      </w:docPartObj>
    </w:sdtPr>
    <w:sdtEndPr>
      <w:rPr>
        <w:color w:val="808080" w:themeColor="background1" w:themeShade="80"/>
        <w:spacing w:val="60"/>
      </w:rPr>
    </w:sdtEndPr>
    <w:sdtContent>
      <w:p w:rsidR="007077F5" w:rsidRDefault="007077F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7077F5" w:rsidRDefault="00707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7F5" w:rsidRDefault="007077F5" w:rsidP="007077F5">
      <w:pPr>
        <w:spacing w:after="0" w:line="240" w:lineRule="auto"/>
      </w:pPr>
      <w:r>
        <w:separator/>
      </w:r>
    </w:p>
  </w:footnote>
  <w:footnote w:type="continuationSeparator" w:id="0">
    <w:p w:rsidR="007077F5" w:rsidRDefault="007077F5" w:rsidP="00707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334"/>
    <w:multiLevelType w:val="hybridMultilevel"/>
    <w:tmpl w:val="B2002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790437"/>
    <w:multiLevelType w:val="hybridMultilevel"/>
    <w:tmpl w:val="BAE68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AE7158"/>
    <w:multiLevelType w:val="hybridMultilevel"/>
    <w:tmpl w:val="3C74A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4929B4"/>
    <w:multiLevelType w:val="hybridMultilevel"/>
    <w:tmpl w:val="3B4E8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704A55"/>
    <w:multiLevelType w:val="hybridMultilevel"/>
    <w:tmpl w:val="DEAC3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18723C"/>
    <w:multiLevelType w:val="hybridMultilevel"/>
    <w:tmpl w:val="6A4C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A43D02"/>
    <w:multiLevelType w:val="hybridMultilevel"/>
    <w:tmpl w:val="7F44B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B2262D"/>
    <w:multiLevelType w:val="hybridMultilevel"/>
    <w:tmpl w:val="55B45D62"/>
    <w:lvl w:ilvl="0" w:tplc="47224F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75C0E23"/>
    <w:multiLevelType w:val="hybridMultilevel"/>
    <w:tmpl w:val="06AA260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9"/>
  </w:num>
  <w:num w:numId="7">
    <w:abstractNumId w:val="2"/>
  </w:num>
  <w:num w:numId="8">
    <w:abstractNumId w:val="11"/>
  </w:num>
  <w:num w:numId="9">
    <w:abstractNumId w:val="5"/>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B8"/>
    <w:rsid w:val="00046F11"/>
    <w:rsid w:val="000B3223"/>
    <w:rsid w:val="000D2781"/>
    <w:rsid w:val="000D535C"/>
    <w:rsid w:val="000F25B8"/>
    <w:rsid w:val="00123D24"/>
    <w:rsid w:val="00133C12"/>
    <w:rsid w:val="00143F14"/>
    <w:rsid w:val="00147789"/>
    <w:rsid w:val="001500F3"/>
    <w:rsid w:val="0015376A"/>
    <w:rsid w:val="0018149F"/>
    <w:rsid w:val="001C2C58"/>
    <w:rsid w:val="001D6DA4"/>
    <w:rsid w:val="00256CEA"/>
    <w:rsid w:val="00271B4F"/>
    <w:rsid w:val="002E29BB"/>
    <w:rsid w:val="00330CC2"/>
    <w:rsid w:val="00341CD5"/>
    <w:rsid w:val="003B248C"/>
    <w:rsid w:val="00471AD3"/>
    <w:rsid w:val="00487F83"/>
    <w:rsid w:val="004B1614"/>
    <w:rsid w:val="004E2CF3"/>
    <w:rsid w:val="00507E6E"/>
    <w:rsid w:val="00641065"/>
    <w:rsid w:val="00646711"/>
    <w:rsid w:val="00661CAA"/>
    <w:rsid w:val="006B6EBE"/>
    <w:rsid w:val="006C04B4"/>
    <w:rsid w:val="006D5237"/>
    <w:rsid w:val="007077F5"/>
    <w:rsid w:val="00735A8A"/>
    <w:rsid w:val="00736C21"/>
    <w:rsid w:val="007558CA"/>
    <w:rsid w:val="007753B1"/>
    <w:rsid w:val="007C4C5E"/>
    <w:rsid w:val="007F5B0C"/>
    <w:rsid w:val="0081241C"/>
    <w:rsid w:val="008129FC"/>
    <w:rsid w:val="00823D8B"/>
    <w:rsid w:val="00847D9A"/>
    <w:rsid w:val="0089094E"/>
    <w:rsid w:val="008A3BEA"/>
    <w:rsid w:val="008B4117"/>
    <w:rsid w:val="008C20FF"/>
    <w:rsid w:val="00920864"/>
    <w:rsid w:val="00924AFD"/>
    <w:rsid w:val="00936BE5"/>
    <w:rsid w:val="00937455"/>
    <w:rsid w:val="00951964"/>
    <w:rsid w:val="00A63459"/>
    <w:rsid w:val="00AE0F47"/>
    <w:rsid w:val="00B0600B"/>
    <w:rsid w:val="00B84EAF"/>
    <w:rsid w:val="00B92BD4"/>
    <w:rsid w:val="00BA6D27"/>
    <w:rsid w:val="00BD25F5"/>
    <w:rsid w:val="00C12AE1"/>
    <w:rsid w:val="00C14CE2"/>
    <w:rsid w:val="00CD3999"/>
    <w:rsid w:val="00D77BE7"/>
    <w:rsid w:val="00DC4E76"/>
    <w:rsid w:val="00E5169B"/>
    <w:rsid w:val="00EC2987"/>
    <w:rsid w:val="00F33E44"/>
    <w:rsid w:val="00F37B51"/>
    <w:rsid w:val="00FA7F78"/>
    <w:rsid w:val="00FC6233"/>
    <w:rsid w:val="00FC7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B8"/>
    <w:pPr>
      <w:ind w:left="720"/>
      <w:contextualSpacing/>
    </w:pPr>
  </w:style>
  <w:style w:type="character" w:styleId="PlaceholderText">
    <w:name w:val="Placeholder Text"/>
    <w:basedOn w:val="DefaultParagraphFont"/>
    <w:uiPriority w:val="99"/>
    <w:semiHidden/>
    <w:rsid w:val="00FC6233"/>
    <w:rPr>
      <w:color w:val="808080"/>
    </w:rPr>
  </w:style>
  <w:style w:type="table" w:styleId="TableGrid">
    <w:name w:val="Table Grid"/>
    <w:basedOn w:val="TableNormal"/>
    <w:uiPriority w:val="59"/>
    <w:rsid w:val="00D77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71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71B4F"/>
    <w:rPr>
      <w:b/>
      <w:bCs/>
    </w:rPr>
  </w:style>
  <w:style w:type="character" w:styleId="BookTitle">
    <w:name w:val="Book Title"/>
    <w:basedOn w:val="DefaultParagraphFont"/>
    <w:uiPriority w:val="33"/>
    <w:qFormat/>
    <w:rsid w:val="00271B4F"/>
    <w:rPr>
      <w:b/>
      <w:bCs/>
      <w:smallCaps/>
      <w:spacing w:val="5"/>
    </w:rPr>
  </w:style>
  <w:style w:type="paragraph" w:styleId="BalloonText">
    <w:name w:val="Balloon Text"/>
    <w:basedOn w:val="Normal"/>
    <w:link w:val="BalloonTextChar"/>
    <w:uiPriority w:val="99"/>
    <w:semiHidden/>
    <w:unhideWhenUsed/>
    <w:rsid w:val="00707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7F5"/>
    <w:rPr>
      <w:rFonts w:ascii="Tahoma" w:hAnsi="Tahoma" w:cs="Tahoma"/>
      <w:sz w:val="16"/>
      <w:szCs w:val="16"/>
    </w:rPr>
  </w:style>
  <w:style w:type="paragraph" w:styleId="Header">
    <w:name w:val="header"/>
    <w:basedOn w:val="Normal"/>
    <w:link w:val="HeaderChar"/>
    <w:uiPriority w:val="99"/>
    <w:unhideWhenUsed/>
    <w:rsid w:val="00707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7F5"/>
  </w:style>
  <w:style w:type="paragraph" w:styleId="Footer">
    <w:name w:val="footer"/>
    <w:basedOn w:val="Normal"/>
    <w:link w:val="FooterChar"/>
    <w:uiPriority w:val="99"/>
    <w:unhideWhenUsed/>
    <w:rsid w:val="00707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B8"/>
    <w:pPr>
      <w:ind w:left="720"/>
      <w:contextualSpacing/>
    </w:pPr>
  </w:style>
  <w:style w:type="character" w:styleId="PlaceholderText">
    <w:name w:val="Placeholder Text"/>
    <w:basedOn w:val="DefaultParagraphFont"/>
    <w:uiPriority w:val="99"/>
    <w:semiHidden/>
    <w:rsid w:val="00FC6233"/>
    <w:rPr>
      <w:color w:val="808080"/>
    </w:rPr>
  </w:style>
  <w:style w:type="table" w:styleId="TableGrid">
    <w:name w:val="Table Grid"/>
    <w:basedOn w:val="TableNormal"/>
    <w:uiPriority w:val="59"/>
    <w:rsid w:val="00D77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71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71B4F"/>
    <w:rPr>
      <w:b/>
      <w:bCs/>
    </w:rPr>
  </w:style>
  <w:style w:type="character" w:styleId="BookTitle">
    <w:name w:val="Book Title"/>
    <w:basedOn w:val="DefaultParagraphFont"/>
    <w:uiPriority w:val="33"/>
    <w:qFormat/>
    <w:rsid w:val="00271B4F"/>
    <w:rPr>
      <w:b/>
      <w:bCs/>
      <w:smallCaps/>
      <w:spacing w:val="5"/>
    </w:rPr>
  </w:style>
  <w:style w:type="paragraph" w:styleId="BalloonText">
    <w:name w:val="Balloon Text"/>
    <w:basedOn w:val="Normal"/>
    <w:link w:val="BalloonTextChar"/>
    <w:uiPriority w:val="99"/>
    <w:semiHidden/>
    <w:unhideWhenUsed/>
    <w:rsid w:val="00707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7F5"/>
    <w:rPr>
      <w:rFonts w:ascii="Tahoma" w:hAnsi="Tahoma" w:cs="Tahoma"/>
      <w:sz w:val="16"/>
      <w:szCs w:val="16"/>
    </w:rPr>
  </w:style>
  <w:style w:type="paragraph" w:styleId="Header">
    <w:name w:val="header"/>
    <w:basedOn w:val="Normal"/>
    <w:link w:val="HeaderChar"/>
    <w:uiPriority w:val="99"/>
    <w:unhideWhenUsed/>
    <w:rsid w:val="00707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7F5"/>
  </w:style>
  <w:style w:type="paragraph" w:styleId="Footer">
    <w:name w:val="footer"/>
    <w:basedOn w:val="Normal"/>
    <w:link w:val="FooterChar"/>
    <w:uiPriority w:val="99"/>
    <w:unhideWhenUsed/>
    <w:rsid w:val="00707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6</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Lavigne, Aurore J</dc:creator>
  <cp:lastModifiedBy>Hambly, Peter C</cp:lastModifiedBy>
  <cp:revision>25</cp:revision>
  <dcterms:created xsi:type="dcterms:W3CDTF">2014-04-15T12:25:00Z</dcterms:created>
  <dcterms:modified xsi:type="dcterms:W3CDTF">2014-11-26T15:09:00Z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id="PHwD3URs"/&gt;&lt;style id="http://www.zotero.org/styles/chicago-author-date"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