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Предварительная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оборудования</w:t>
      </w:r>
      <w:r>
        <w:t xml:space="preserve"> </w:t>
      </w:r>
      <w:r>
        <w:t xml:space="preserve">Cisco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начальному конфигурированию оборудования Cisco.</w:t>
      </w:r>
    </w:p>
    <w:bookmarkEnd w:id="20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рабочей области</w:t>
      </w:r>
      <w:r>
        <w:t xml:space="preserve"> </w:t>
      </w:r>
      <w:r>
        <w:rPr>
          <w:bCs/>
          <w:b/>
        </w:rPr>
        <w:t xml:space="preserve">Cisco Packet Tracer</w:t>
      </w:r>
      <w:r>
        <w:t xml:space="preserve"> </w:t>
      </w:r>
      <w:r>
        <w:t xml:space="preserve">были размещены устройства: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 </w:t>
      </w:r>
      <w:r>
        <w:t xml:space="preserve">(msk-donskaya-babdullakhi-gw-1), коммутатор</w:t>
      </w:r>
      <w:r>
        <w:t xml:space="preserve"> </w:t>
      </w:r>
      <w:r>
        <w:rPr>
          <w:bCs/>
          <w:b/>
        </w:rPr>
        <w:t xml:space="preserve">Cisco 2960-24TT</w:t>
      </w:r>
      <w:r>
        <w:t xml:space="preserve"> </w:t>
      </w:r>
      <w:r>
        <w:t xml:space="preserve">(msk-donskaya-babdullakhi-sw-1) и два оконечных устройства</w:t>
      </w:r>
      <w:r>
        <w:t xml:space="preserve"> </w:t>
      </w:r>
      <w:r>
        <w:rPr>
          <w:bCs/>
          <w:b/>
        </w:rPr>
        <w:t xml:space="preserve">PC</w:t>
      </w:r>
      <w:r>
        <w:t xml:space="preserve"> </w:t>
      </w:r>
      <w:r>
        <w:t xml:space="preserve">(PC0-babdullakhi и PC1-babdullakhi).</w:t>
      </w:r>
    </w:p>
    <w:p>
      <w:pPr>
        <w:numPr>
          <w:ilvl w:val="0"/>
          <w:numId w:val="1000"/>
        </w:numPr>
      </w:pPr>
      <w:r>
        <w:t xml:space="preserve">Соединения выполнены следующим образом: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PC0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bCs/>
          <w:b/>
        </w:rPr>
        <w:t xml:space="preserve">маршрутизатору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подключён к</w:t>
      </w:r>
      <w:r>
        <w:t xml:space="preserve"> </w:t>
      </w:r>
      <w:r>
        <w:rPr>
          <w:bCs/>
          <w:b/>
        </w:rPr>
        <w:t xml:space="preserve">коммутатору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4581625" cy="4109987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625" cy="4109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</w:t>
      </w:r>
    </w:p>
    <w:p>
      <w:pPr>
        <w:numPr>
          <w:ilvl w:val="0"/>
          <w:numId w:val="1001"/>
        </w:numPr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PC0</w:t>
      </w:r>
      <w:r>
        <w:t xml:space="preserve"> </w:t>
      </w:r>
      <w:r>
        <w:t xml:space="preserve">был задан статический IP-адрес для сети маршрутизатора:</w:t>
      </w:r>
      <w:r>
        <w:br/>
      </w:r>
      <w:r>
        <w:t xml:space="preserve">– PC0: 192.168.1.10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192.168.1.254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356311"/>
            <wp:effectExtent b="0" l="0" r="0" t="0"/>
            <wp:docPr descr="Рис. 2: Настройка IP-адреса на PC0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IP-адреса на PC0</w:t>
      </w:r>
    </w:p>
    <w:p>
      <w:pPr>
        <w:numPr>
          <w:ilvl w:val="0"/>
          <w:numId w:val="1001"/>
        </w:numPr>
      </w:pPr>
      <w:r>
        <w:t xml:space="preserve">Выполнена настройка</w:t>
      </w:r>
      <w:r>
        <w:t xml:space="preserve"> </w:t>
      </w:r>
      <w:r>
        <w:rPr>
          <w:bCs/>
          <w:b/>
        </w:rPr>
        <w:t xml:space="preserve">маршрутизатора 2811</w:t>
      </w:r>
      <w:r>
        <w:t xml:space="preserve">. На интерфейсе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был включён порт и назначен IP-адрес:</w:t>
      </w:r>
      <w:r>
        <w:br/>
      </w:r>
      <w:r>
        <w:t xml:space="preserve">– IP-адрес: 192.168.1.254</w:t>
      </w:r>
      <w:r>
        <w:br/>
      </w:r>
      <w:r>
        <w:t xml:space="preserve">– Маска: 255.255.255.0</w:t>
      </w:r>
    </w:p>
    <w:p>
      <w:pPr>
        <w:numPr>
          <w:ilvl w:val="0"/>
          <w:numId w:val="1000"/>
        </w:numPr>
      </w:pPr>
      <w:r>
        <w:t xml:space="preserve">Дополнительно настроены параметры доступа:</w:t>
      </w:r>
      <w:r>
        <w:br/>
      </w:r>
      <w:r>
        <w:t xml:space="preserve">– задано имя устройства (hostname);</w:t>
      </w:r>
      <w:r>
        <w:br/>
      </w:r>
      <w:r>
        <w:t xml:space="preserve">– настроены линии VTY с паролем;</w:t>
      </w:r>
      <w:r>
        <w:br/>
      </w:r>
      <w:r>
        <w:t xml:space="preserve">– установлен enable secret;</w:t>
      </w:r>
      <w:r>
        <w:br/>
      </w:r>
      <w:r>
        <w:t xml:space="preserve">– включено шифрование паролей;</w:t>
      </w:r>
      <w:r>
        <w:br/>
      </w:r>
      <w:r>
        <w:t xml:space="preserve">– создан пользователь admin;</w:t>
      </w:r>
      <w:r>
        <w:br/>
      </w:r>
      <w:r>
        <w:t xml:space="preserve">– задано доменное имя;</w:t>
      </w:r>
      <w:r>
        <w:br/>
      </w:r>
      <w:r>
        <w:t xml:space="preserve">– сгенерированы RSA-ключи;</w:t>
      </w:r>
      <w:r>
        <w:br/>
      </w:r>
      <w:r>
        <w:t xml:space="preserve">– разрешён доступ по SSH;</w:t>
      </w:r>
      <w:r>
        <w:br/>
      </w:r>
      <w:r>
        <w:t xml:space="preserve">– конфигурация сохранена в память.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5153713"/>
            <wp:effectExtent b="0" l="0" r="0" t="0"/>
            <wp:docPr descr="Рис. 3: Настройка маршрутизатора через CLI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маршрутизатора через CLI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5315393"/>
            <wp:effectExtent b="0" l="0" r="0" t="0"/>
            <wp:docPr descr="Рис. 4: Ввод команд настройки маршрутизатора через терминал PC0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Ввод команд настройки маршрутизатора через терминал PC0</w:t>
      </w:r>
    </w:p>
    <w:p>
      <w:pPr>
        <w:numPr>
          <w:ilvl w:val="0"/>
          <w:numId w:val="1001"/>
        </w:numPr>
      </w:pPr>
      <w:r>
        <w:t xml:space="preserve">Проверена работоспособность соединения между</w:t>
      </w:r>
      <w:r>
        <w:t xml:space="preserve"> </w:t>
      </w:r>
      <w:r>
        <w:rPr>
          <w:bCs/>
          <w:b/>
        </w:rPr>
        <w:t xml:space="preserve">PC0</w:t>
      </w:r>
      <w:r>
        <w:t xml:space="preserve"> </w:t>
      </w:r>
      <w:r>
        <w:t xml:space="preserve">и маршрутизатором. С ПК выполнена 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до адреса 192.168.1.254. Все пакеты были успешно доставлены.</w:t>
      </w:r>
    </w:p>
    <w:p>
      <w:pPr>
        <w:numPr>
          <w:ilvl w:val="0"/>
          <w:numId w:val="1000"/>
        </w:numPr>
      </w:pPr>
      <w:r>
        <w:t xml:space="preserve">Затем выполнена попытка подключения к маршрутизатору:</w:t>
      </w:r>
      <w:r>
        <w:br/>
      </w:r>
      <w:r>
        <w:t xml:space="preserve">– через Telnet — соединение устанавливается, но закрывается;</w:t>
      </w:r>
      <w:r>
        <w:br/>
      </w:r>
      <w:r>
        <w:t xml:space="preserve">– через SSH — выполнен успешный вход под пользователем admin и последующий выход из сеанса.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5325893"/>
            <wp:effectExtent b="0" l="0" r="0" t="0"/>
            <wp:docPr descr="Рис. 5: Проверка ping и удалённого подключения к маршрутизатору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5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Проверка ping и удалённого подключения к маршрутизатору</w:t>
      </w:r>
    </w:p>
    <w:p>
      <w:pPr>
        <w:numPr>
          <w:ilvl w:val="0"/>
          <w:numId w:val="1001"/>
        </w:numPr>
      </w:pPr>
      <w:r>
        <w:t xml:space="preserve">Проведена настройка</w:t>
      </w:r>
      <w:r>
        <w:t xml:space="preserve"> </w:t>
      </w:r>
      <w:r>
        <w:rPr>
          <w:bCs/>
          <w:b/>
        </w:rPr>
        <w:t xml:space="preserve">коммутатора 2960</w:t>
      </w:r>
      <w:r>
        <w:t xml:space="preserve">. Для управления создан интерфейс</w:t>
      </w:r>
      <w:r>
        <w:t xml:space="preserve"> </w:t>
      </w:r>
      <w:r>
        <w:rPr>
          <w:bCs/>
          <w:b/>
        </w:rPr>
        <w:t xml:space="preserve">Vlan2</w:t>
      </w:r>
      <w:r>
        <w:t xml:space="preserve">, включён и настроен IP-адрес:</w:t>
      </w:r>
      <w:r>
        <w:br/>
      </w:r>
      <w:r>
        <w:t xml:space="preserve">– IP-адрес: 192.168.2.1</w:t>
      </w:r>
      <w:r>
        <w:br/>
      </w:r>
      <w:r>
        <w:t xml:space="preserve">– Маска: 255.255.255.0</w:t>
      </w:r>
    </w:p>
    <w:p>
      <w:pPr>
        <w:numPr>
          <w:ilvl w:val="0"/>
          <w:numId w:val="1000"/>
        </w:numPr>
      </w:pPr>
      <w:r>
        <w:t xml:space="preserve">Порт подключения ПК переведён в режим access и назначен в VLAN 2. Также настроены параметры доступа:</w:t>
      </w:r>
      <w:r>
        <w:br/>
      </w:r>
      <w:r>
        <w:t xml:space="preserve">– задано имя устройства;</w:t>
      </w:r>
      <w:r>
        <w:br/>
      </w:r>
      <w:r>
        <w:t xml:space="preserve">– настроены линии VTY и консоли с паролями;</w:t>
      </w:r>
      <w:r>
        <w:br/>
      </w:r>
      <w:r>
        <w:t xml:space="preserve">– установлен enable secret;</w:t>
      </w:r>
      <w:r>
        <w:br/>
      </w:r>
      <w:r>
        <w:t xml:space="preserve">– включено шифрование паролей;</w:t>
      </w:r>
      <w:r>
        <w:br/>
      </w:r>
      <w:r>
        <w:t xml:space="preserve">– создан пользователь admin;</w:t>
      </w:r>
      <w:r>
        <w:br/>
      </w:r>
      <w:r>
        <w:t xml:space="preserve">– задано доменное имя;</w:t>
      </w:r>
      <w:r>
        <w:br/>
      </w:r>
      <w:r>
        <w:t xml:space="preserve">– сгенерированы RSA-ключи;</w:t>
      </w:r>
      <w:r>
        <w:br/>
      </w:r>
      <w:r>
        <w:t xml:space="preserve">– разрешён доступ по SSH;</w:t>
      </w:r>
      <w:r>
        <w:br/>
      </w:r>
      <w:r>
        <w:t xml:space="preserve">– задан шлюз управления.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5271904"/>
            <wp:effectExtent b="0" l="0" r="0" t="0"/>
            <wp:docPr descr="Рис. 6: Настройка коммутатора через CLI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коммутатора через CLI</w:t>
      </w:r>
    </w:p>
    <w:p>
      <w:pPr>
        <w:numPr>
          <w:ilvl w:val="0"/>
          <w:numId w:val="1001"/>
        </w:numPr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задан статический IP-адрес для сети коммутатора:</w:t>
      </w:r>
      <w:r>
        <w:br/>
      </w:r>
      <w:r>
        <w:t xml:space="preserve">– PC1: 192.168.2.10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192.168.2.1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199268"/>
            <wp:effectExtent b="0" l="0" r="0" t="0"/>
            <wp:docPr descr="Рис. 7: Настройка IP-адреса на PC1" title="" id="46" name="Picture"/>
            <a:graphic>
              <a:graphicData uri="http://schemas.openxmlformats.org/drawingml/2006/picture">
                <pic:pic>
                  <pic:nvPicPr>
                    <pic:cNvPr descr="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9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IP-адреса на PC1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5340131"/>
            <wp:effectExtent b="0" l="0" r="0" t="0"/>
            <wp:docPr descr="Рис. 8: Ввод команд настройки коммутатора через терминал PC1" title="" id="50" name="Picture"/>
            <a:graphic>
              <a:graphicData uri="http://schemas.openxmlformats.org/drawingml/2006/picture">
                <pic:pic>
                  <pic:nvPicPr>
                    <pic:cNvPr descr="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0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Ввод команд настройки коммутатора через терминал PC1</w:t>
      </w:r>
    </w:p>
    <w:p>
      <w:pPr>
        <w:numPr>
          <w:ilvl w:val="0"/>
          <w:numId w:val="1001"/>
        </w:numPr>
      </w:pPr>
      <w:r>
        <w:t xml:space="preserve">Выполнена проверка доступности коммутатора. С устройства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отправлен ping на адрес 192.168.2.1. Первый пакет был потерян из-за процесса ARP, последующие ответы получены.</w:t>
      </w:r>
    </w:p>
    <w:p>
      <w:pPr>
        <w:numPr>
          <w:ilvl w:val="0"/>
          <w:numId w:val="1000"/>
        </w:numPr>
      </w:pPr>
      <w:r>
        <w:t xml:space="preserve">Далее выполнены попытки подключения к коммутатору:</w:t>
      </w:r>
      <w:r>
        <w:br/>
      </w:r>
      <w:r>
        <w:t xml:space="preserve">– через Telnet — соединение устанавливается и затем закрывается;</w:t>
      </w:r>
      <w:r>
        <w:br/>
      </w:r>
      <w:r>
        <w:t xml:space="preserve">– через SSH — выполнен успешный вход под пользователем admin и выход из сеанса.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4683327"/>
            <wp:effectExtent b="0" l="0" r="0" t="0"/>
            <wp:docPr descr="Рис. 9: Проверка ping и удалённого подключения к коммутатору" title="" id="54" name="Picture"/>
            <a:graphic>
              <a:graphicData uri="http://schemas.openxmlformats.org/drawingml/2006/picture">
                <pic:pic>
                  <pic:nvPicPr>
                    <pic:cNvPr descr="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3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Проверка ping и удалённого подключения к коммутатору</w:t>
      </w:r>
    </w:p>
    <w:bookmarkEnd w:id="57"/>
    <w:bookmarkStart w:id="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собрана простая сеть в Cisco Packet Tracer, включающая маршрутизатор, коммутатор и два персональных компьютера. Выполнена базовая настройка сетевых устройств: назначены IP-адреса интерфейсам, настроены VLAN на коммутаторе, заданы пароли доступа и включена поддержка удалённого управления по SSH.</w:t>
      </w:r>
    </w:p>
    <w:p>
      <w:pPr>
        <w:pStyle w:val="BodyText"/>
      </w:pPr>
      <w:r>
        <w:t xml:space="preserve">Проверка соединения с помощью команды ping показала корректную работу сети и доступность устройств в своих подсетях. Также были успешно выполнены подключения к маршрутизатору и коммутатору через консоль и по протоколу SSH, что подтверждает правильность выполненной конфигурации и работоспособность настроенных сервисов удалённого доступа.</w:t>
      </w:r>
    </w:p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Укажите возможные способы подключения к сетевому оборудованию.</w:t>
      </w:r>
      <w:r>
        <w:br/>
      </w:r>
      <w:r>
        <w:t xml:space="preserve">К сетевому оборудованию можно подключаться следующими способами:</w:t>
      </w:r>
      <w:r>
        <w:br/>
      </w:r>
      <w:r>
        <w:t xml:space="preserve">– через консольный кабель (локальное подключение для первичной настройки);</w:t>
      </w:r>
      <w:r>
        <w:br/>
      </w:r>
      <w:r>
        <w:t xml:space="preserve">– через Telnet (удалённый доступ по сети);</w:t>
      </w:r>
      <w:r>
        <w:br/>
      </w:r>
      <w:r>
        <w:t xml:space="preserve">– через SSH (удалённый защищённый доступ по сети);</w:t>
      </w:r>
      <w:r>
        <w:br/>
      </w:r>
      <w:r>
        <w:t xml:space="preserve">– через веб-интерфейс (если поддерживается устройством).</w:t>
      </w:r>
    </w:p>
    <w:p>
      <w:pPr>
        <w:pStyle w:val="BodyText"/>
      </w:pPr>
      <w:r>
        <w:rPr>
          <w:bCs/>
          <w:b/>
        </w:rPr>
        <w:t xml:space="preserve">2. Каким типом сетевого кабеля следует подключать оконечное оборудование пользователя к маршрутизатору и почему?</w:t>
      </w:r>
      <w:r>
        <w:br/>
      </w:r>
      <w:r>
        <w:t xml:space="preserve">Для подключения ПК к маршрутизатору используется прямой витопарный кабель (Copper Straight-Through), так как соединяются устройства разных типов: оконечное устройство и сетевое оборудование.</w:t>
      </w:r>
    </w:p>
    <w:p>
      <w:pPr>
        <w:pStyle w:val="BodyText"/>
      </w:pPr>
      <w:r>
        <w:rPr>
          <w:bCs/>
          <w:b/>
        </w:rPr>
        <w:t xml:space="preserve">3. Каким типом сетевого кабеля следует подключать оконечное оборудование пользователя к коммутатору и почему?</w:t>
      </w:r>
      <w:r>
        <w:br/>
      </w:r>
      <w:r>
        <w:t xml:space="preserve">Для подключения ПК к коммутатору также используется прямой витопарный кабель (Copper Straight-Through), поскольку соединяются разные типы устройств: хост и коммутатор.</w:t>
      </w:r>
    </w:p>
    <w:p>
      <w:pPr>
        <w:pStyle w:val="BodyText"/>
      </w:pPr>
      <w:r>
        <w:rPr>
          <w:bCs/>
          <w:b/>
        </w:rPr>
        <w:t xml:space="preserve">4. Каким типом сетевого кабеля следует подключать коммутатор к коммутатору и почему?</w:t>
      </w:r>
      <w:r>
        <w:br/>
      </w:r>
      <w:r>
        <w:t xml:space="preserve">Для соединения коммутатора с коммутатором применяется перекрёстный кабель (Copper Cross-Over), так как соединяются однотипные устройства.</w:t>
      </w:r>
    </w:p>
    <w:p>
      <w:pPr>
        <w:pStyle w:val="BodyText"/>
      </w:pPr>
      <w:r>
        <w:rPr>
          <w:bCs/>
          <w:b/>
        </w:rPr>
        <w:t xml:space="preserve">5. Укажите возможные способы настройки доступа к сетевому оборудованию по паролю.</w:t>
      </w:r>
      <w:r>
        <w:br/>
      </w:r>
      <w:r>
        <w:t xml:space="preserve">Доступ по паролю может быть настроен:</w:t>
      </w:r>
      <w:r>
        <w:br/>
      </w:r>
      <w:r>
        <w:t xml:space="preserve">– для консольной линии (line console 0);</w:t>
      </w:r>
      <w:r>
        <w:br/>
      </w:r>
      <w:r>
        <w:t xml:space="preserve">– для удалённых подключений по линиям VTY (line vty 0 4);</w:t>
      </w:r>
      <w:r>
        <w:br/>
      </w:r>
      <w:r>
        <w:t xml:space="preserve">– с использованием привилегированного режима (enable secret);</w:t>
      </w:r>
      <w:r>
        <w:br/>
      </w:r>
      <w:r>
        <w:t xml:space="preserve">– через создание локальных пользователей (username и password/secret).</w:t>
      </w:r>
    </w:p>
    <w:p>
      <w:pPr>
        <w:pStyle w:val="BodyText"/>
      </w:pPr>
      <w:r>
        <w:rPr>
          <w:bCs/>
          <w:b/>
        </w:rPr>
        <w:t xml:space="preserve">6. Укажите возможные способы настройки удалённого доступа к сетевому оборудованию. Какой из способов предпочтительнее и почему?</w:t>
      </w:r>
      <w:r>
        <w:br/>
      </w:r>
      <w:r>
        <w:t xml:space="preserve">Удалённый доступ можно настроить с помощью протоколов Telnet и SSH. Предпочтительным является SSH, так как он обеспечивает шифрование передаваемых данных и более высокий уровень безопасности по сравнению с Telnet, который передаёт информацию в открытом виде.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Абдуллахи Бахара</dc:creator>
  <dc:language>ru-RU</dc:language>
  <cp:keywords/>
  <dcterms:created xsi:type="dcterms:W3CDTF">2026-02-16T08:08:24Z</dcterms:created>
  <dcterms:modified xsi:type="dcterms:W3CDTF">2026-02-16T08:08:24Z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Предварительная настройка оборудования Cisco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