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1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70.png" ContentType="image/png"/>
  <Override PartName="/word/media/rId85.png" ContentType="image/png"/>
  <Override PartName="/word/media/rId82.png" ContentType="image/png"/>
  <Override PartName="/word/media/rId30.png" ContentType="image/png"/>
  <Override PartName="/word/media/rId33.png" ContentType="image/png"/>
  <Override PartName="/word/media/rId27.png" ContentType="image/png"/>
  <Override PartName="/word/media/rId39.png" ContentType="image/png"/>
  <Override PartName="/word/media/rId42.png" ContentType="image/png"/>
  <Override PartName="/word/media/rId36.png" ContentType="image/png"/>
  <Override PartName="/word/media/rId48.png" ContentType="image/png"/>
  <Override PartName="/word/media/rId45.png" ContentType="image/png"/>
  <Override PartName="/word/media/rId55.png" ContentType="image/png"/>
  <Override PartName="/word/media/rId51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 :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pStyle w:val="CaptionedFigure"/>
      </w:pPr>
      <w:r>
        <w:drawing>
          <wp:inline>
            <wp:extent cx="3772860" cy="414937"/>
            <wp:effectExtent b="0" l="0" r="0" t="0"/>
            <wp:docPr descr="Название рисун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65176" cy="5478715"/>
            <wp:effectExtent b="0" l="0" r="0" t="0"/>
            <wp:docPr descr="Название рисунка" title="" id="25" name="Picture"/>
            <a:graphic>
              <a:graphicData uri="http://schemas.openxmlformats.org/drawingml/2006/picture">
                <pic:pic>
                  <pic:nvPicPr>
                    <pic:cNvPr descr="image/1,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47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aptionedFigure"/>
      </w:pPr>
      <w:r>
        <w:drawing>
          <wp:inline>
            <wp:extent cx="3772860" cy="560934"/>
            <wp:effectExtent b="0" l="0" r="0" t="0"/>
            <wp:docPr descr="Название рисун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626863" cy="5394191"/>
            <wp:effectExtent b="0" l="0" r="0" t="0"/>
            <wp:docPr descr="Название рисунка" title="" id="31" name="Picture"/>
            <a:graphic>
              <a:graphicData uri="http://schemas.openxmlformats.org/drawingml/2006/picture">
                <pic:pic>
                  <pic:nvPicPr>
                    <pic:cNvPr descr="image/3,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539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88228" cy="414937"/>
            <wp:effectExtent b="0" l="0" r="0" t="0"/>
            <wp:docPr descr="Название рисунка" title="" id="34" name="Picture"/>
            <a:graphic>
              <a:graphicData uri="http://schemas.openxmlformats.org/drawingml/2006/picture">
                <pic:pic>
                  <pic:nvPicPr>
                    <pic:cNvPr descr="image/3,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aptionedFigure"/>
      </w:pPr>
      <w:r>
        <w:drawing>
          <wp:inline>
            <wp:extent cx="3765176" cy="268941"/>
            <wp:effectExtent b="0" l="0" r="0" t="0"/>
            <wp:docPr descr="Название рисунка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57492" cy="5440295"/>
            <wp:effectExtent b="0" l="0" r="0" t="0"/>
            <wp:docPr descr="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4,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544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57492" cy="1997848"/>
            <wp:effectExtent b="0" l="0" r="0" t="0"/>
            <wp:docPr descr="Название рисунка" title="" id="43" name="Picture"/>
            <a:graphic>
              <a:graphicData uri="http://schemas.openxmlformats.org/drawingml/2006/picture">
                <pic:pic>
                  <pic:nvPicPr>
                    <pic:cNvPr descr="image/4,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8"/>
        </w:numPr>
        <w:pStyle w:val="Compact"/>
      </w:pPr>
    </w:p>
    <w:p>
      <w:pPr>
        <w:numPr>
          <w:ilvl w:val="1"/>
          <w:numId w:val="1009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3765176" cy="276625"/>
            <wp:effectExtent b="0" l="0" r="0" t="0"/>
            <wp:docPr descr="Название рисунк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65176" cy="5363455"/>
            <wp:effectExtent b="0" l="0" r="0" t="0"/>
            <wp:docPr descr="Название рисунка" title="" id="49" name="Picture"/>
            <a:graphic>
              <a:graphicData uri="http://schemas.openxmlformats.org/drawingml/2006/picture">
                <pic:pic>
                  <pic:nvPicPr>
                    <pic:cNvPr descr="image/5,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36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  <w:r>
        <w:t xml:space="preserve"> </w:t>
      </w:r>
      <w:bookmarkStart w:id="54" w:name="fig:001"/>
      <w:r>
        <w:drawing>
          <wp:inline>
            <wp:extent cx="3772860" cy="668510"/>
            <wp:effectExtent b="0" l="0" r="0" t="0"/>
            <wp:docPr descr="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CaptionedFigure"/>
      </w:pPr>
      <w:r>
        <w:drawing>
          <wp:inline>
            <wp:extent cx="3734440" cy="5378823"/>
            <wp:effectExtent b="0" l="0" r="0" t="0"/>
            <wp:docPr descr="Название рисунка" title="" id="56" name="Picture"/>
            <a:graphic>
              <a:graphicData uri="http://schemas.openxmlformats.org/drawingml/2006/picture">
                <pic:pic>
                  <pic:nvPicPr>
                    <pic:cNvPr descr="image/6,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2"/>
        </w:numPr>
        <w:pStyle w:val="Compact"/>
      </w:pPr>
    </w:p>
    <w:p>
      <w:pPr>
        <w:numPr>
          <w:ilvl w:val="1"/>
          <w:numId w:val="1013"/>
        </w:numPr>
        <w:pStyle w:val="Compact"/>
      </w:pPr>
      <w:r>
        <w:t xml:space="preserve">Удалите файл ~/logfile.</w:t>
      </w:r>
    </w:p>
    <w:p>
      <w:pPr>
        <w:pStyle w:val="CaptionedFigure"/>
      </w:pPr>
      <w:r>
        <w:drawing>
          <wp:inline>
            <wp:extent cx="3734440" cy="391885"/>
            <wp:effectExtent b="0" l="0" r="0" t="0"/>
            <wp:docPr descr="Название рисунка" title="" id="59" name="Picture"/>
            <a:graphic>
              <a:graphicData uri="http://schemas.openxmlformats.org/drawingml/2006/picture">
                <pic:pic>
                  <pic:nvPicPr>
                    <pic:cNvPr descr="image/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4"/>
        </w:numPr>
        <w:pStyle w:val="Compact"/>
      </w:pPr>
    </w:p>
    <w:p>
      <w:pPr>
        <w:numPr>
          <w:ilvl w:val="1"/>
          <w:numId w:val="1015"/>
        </w:numPr>
        <w:pStyle w:val="Compact"/>
      </w:pPr>
      <w:r>
        <w:t xml:space="preserve">Запустите из консоли в фоновом режиме редактор gedit.</w:t>
      </w:r>
    </w:p>
    <w:p>
      <w:pPr>
        <w:pStyle w:val="CaptionedFigure"/>
      </w:pPr>
      <w:r>
        <w:drawing>
          <wp:inline>
            <wp:extent cx="3519287" cy="338097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87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6"/>
        </w:numPr>
        <w:pStyle w:val="Compact"/>
      </w:pPr>
    </w:p>
    <w:p>
      <w:pPr>
        <w:numPr>
          <w:ilvl w:val="1"/>
          <w:numId w:val="1017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aptionedFigure"/>
      </w:pPr>
      <w:r>
        <w:drawing>
          <wp:inline>
            <wp:extent cx="3780544" cy="791455"/>
            <wp:effectExtent b="0" l="0" r="0" t="0"/>
            <wp:docPr descr="Название рисунка" title="" id="65" name="Picture"/>
            <a:graphic>
              <a:graphicData uri="http://schemas.openxmlformats.org/drawingml/2006/picture">
                <pic:pic>
                  <pic:nvPicPr>
                    <pic:cNvPr descr="image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18"/>
        </w:numPr>
        <w:pStyle w:val="Compact"/>
      </w:pPr>
    </w:p>
    <w:p>
      <w:pPr>
        <w:numPr>
          <w:ilvl w:val="1"/>
          <w:numId w:val="1019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aptionedFigure"/>
      </w:pPr>
      <w:r>
        <w:drawing>
          <wp:inline>
            <wp:extent cx="3788228" cy="414937"/>
            <wp:effectExtent b="0" l="0" r="0" t="0"/>
            <wp:docPr descr="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1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8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42124" cy="253573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1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42124" cy="5447979"/>
            <wp:effectExtent b="0" l="0" r="0" t="0"/>
            <wp:docPr descr="man df" title="" id="74" name="Picture"/>
            <a:graphic>
              <a:graphicData uri="http://schemas.openxmlformats.org/drawingml/2006/picture">
                <pic:pic>
                  <pic:nvPicPr>
                    <pic:cNvPr descr="image/11,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544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df</w:t>
      </w:r>
    </w:p>
    <w:p>
      <w:pPr>
        <w:pStyle w:val="CaptionedFigure"/>
      </w:pPr>
      <w:r>
        <w:drawing>
          <wp:inline>
            <wp:extent cx="3726756" cy="299677"/>
            <wp:effectExtent b="0" l="0" r="0" t="0"/>
            <wp:docPr descr="Название рисунка" title="" id="77" name="Picture"/>
            <a:graphic>
              <a:graphicData uri="http://schemas.openxmlformats.org/drawingml/2006/picture">
                <pic:pic>
                  <pic:nvPicPr>
                    <pic:cNvPr descr="image/11,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34440" cy="5394191"/>
            <wp:effectExtent b="0" l="0" r="0" t="0"/>
            <wp:docPr descr="man du" title="" id="80" name="Picture"/>
            <a:graphic>
              <a:graphicData uri="http://schemas.openxmlformats.org/drawingml/2006/picture">
                <pic:pic>
                  <pic:nvPicPr>
                    <pic:cNvPr descr="image/11,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539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du</w:t>
      </w:r>
    </w:p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CaptionedFigure"/>
      </w:pPr>
      <w:r>
        <w:drawing>
          <wp:inline>
            <wp:extent cx="3780544" cy="430305"/>
            <wp:effectExtent b="0" l="0" r="0" t="0"/>
            <wp:docPr descr="Название рисунка" title="" id="83" name="Picture"/>
            <a:graphic>
              <a:graphicData uri="http://schemas.openxmlformats.org/drawingml/2006/picture">
                <pic:pic>
                  <pic:nvPicPr>
                    <pic:cNvPr descr="image/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3742124" cy="5417243"/>
            <wp:effectExtent b="0" l="0" r="0" t="0"/>
            <wp:docPr descr="Название рисунка" title="" id="86" name="Picture"/>
            <a:graphic>
              <a:graphicData uri="http://schemas.openxmlformats.org/drawingml/2006/picture">
                <pic:pic>
                  <pic:nvPicPr>
                    <pic:cNvPr descr="image/12,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5417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Start w:id="88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24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25"/>
        </w:numPr>
        <w:pStyle w:val="Compact"/>
      </w:pPr>
      <w:r>
        <w:t xml:space="preserve">Основные потоки ввода-вывода в Unix-подобных системах - это stdin (стандартный ввод), stdout (стандартный вывод) и stderr (стандартный поток ошибок).</w:t>
      </w:r>
    </w:p>
    <w:p>
      <w:pPr>
        <w:numPr>
          <w:ilvl w:val="0"/>
          <w:numId w:val="1026"/>
        </w:numPr>
        <w:pStyle w:val="Compact"/>
      </w:pPr>
      <w:r>
        <w:t xml:space="preserve">Объясните разницу между операцией &gt; и &gt;&gt;.</w:t>
      </w:r>
    </w:p>
    <w:p>
      <w:pPr>
        <w:numPr>
          <w:ilvl w:val="0"/>
          <w:numId w:val="1027"/>
        </w:numPr>
        <w:pStyle w:val="Compact"/>
      </w:pPr>
      <w:r>
        <w:t xml:space="preserve">Оператор &gt; перенаправляет вывод команды в файл, заменяя его содержимое. Оператор &gt;&gt; дописывает вывод команды в конец файла.</w:t>
      </w:r>
    </w:p>
    <w:p>
      <w:pPr>
        <w:numPr>
          <w:ilvl w:val="0"/>
          <w:numId w:val="1028"/>
        </w:numPr>
        <w:pStyle w:val="Compact"/>
      </w:pPr>
      <w:r>
        <w:t xml:space="preserve">Что такое конвейер?</w:t>
      </w:r>
    </w:p>
    <w:p>
      <w:pPr>
        <w:numPr>
          <w:ilvl w:val="0"/>
          <w:numId w:val="1029"/>
        </w:numPr>
        <w:pStyle w:val="Compact"/>
      </w:pPr>
      <w:r>
        <w:t xml:space="preserve">Конвейер (pipe) - это механизм, позволяющий передавать вывод одной команды на вход другой команды.</w:t>
      </w:r>
    </w:p>
    <w:p>
      <w:pPr>
        <w:numPr>
          <w:ilvl w:val="0"/>
          <w:numId w:val="1030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numPr>
          <w:ilvl w:val="0"/>
          <w:numId w:val="1031"/>
        </w:numPr>
        <w:pStyle w:val="Compact"/>
      </w:pPr>
      <w:r>
        <w:t xml:space="preserve">Процесс - это запущенная программа. Программа - это набор инструкций, а процесс - это выполнение этих инструкций в операционной системе.</w:t>
      </w:r>
    </w:p>
    <w:p>
      <w:pPr>
        <w:numPr>
          <w:ilvl w:val="0"/>
          <w:numId w:val="1032"/>
        </w:numPr>
        <w:pStyle w:val="Compact"/>
      </w:pPr>
      <w:r>
        <w:t xml:space="preserve">Что такое PID и GID?</w:t>
      </w:r>
    </w:p>
    <w:p>
      <w:pPr>
        <w:numPr>
          <w:ilvl w:val="0"/>
          <w:numId w:val="1033"/>
        </w:numPr>
        <w:pStyle w:val="Compact"/>
      </w:pPr>
      <w:r>
        <w:t xml:space="preserve">PID (Process ID) - уникальный идентификатор процесса. GID (Group ID) - идентификатор группы, к которой принадлежит процесс.</w:t>
      </w:r>
    </w:p>
    <w:p>
      <w:pPr>
        <w:numPr>
          <w:ilvl w:val="0"/>
          <w:numId w:val="1034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numPr>
          <w:ilvl w:val="0"/>
          <w:numId w:val="1035"/>
        </w:numPr>
        <w:pStyle w:val="Compact"/>
      </w:pPr>
      <w:r>
        <w:t xml:space="preserve">Задачи (jobs) - это процессы, запущенные в фоновом режиме. Командой для управления ими является</w:t>
      </w:r>
      <w:r>
        <w:t xml:space="preserve"> </w:t>
      </w:r>
      <w:r>
        <w:t xml:space="preserve">“</w:t>
      </w:r>
      <w:r>
        <w:t xml:space="preserve">jobs</w:t>
      </w:r>
      <w:r>
        <w:t xml:space="preserve">”</w:t>
      </w:r>
      <w:r>
        <w:t xml:space="preserve">.</w:t>
      </w:r>
    </w:p>
    <w:p>
      <w:pPr>
        <w:numPr>
          <w:ilvl w:val="0"/>
          <w:numId w:val="1036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37"/>
        </w:numPr>
        <w:pStyle w:val="Compact"/>
      </w:pPr>
      <w:r>
        <w:t xml:space="preserve">top и htop - утилиты для мониторинга системных процессов и ресурсов. Они показывают загрузку CPU, памяти, список запущенных процессов и другую полезную информацию.</w:t>
      </w:r>
    </w:p>
    <w:p>
      <w:pPr>
        <w:numPr>
          <w:ilvl w:val="0"/>
          <w:numId w:val="1038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numPr>
          <w:ilvl w:val="0"/>
          <w:numId w:val="1039"/>
        </w:numPr>
        <w:pStyle w:val="Compact"/>
      </w:pPr>
      <w:r>
        <w:t xml:space="preserve">Команда поиска файлов - find. Она позволяет искать файлы по различным критериям, таким как имя, размер, дата изменения и т.д. Например:</w:t>
      </w:r>
      <w:r>
        <w:t xml:space="preserve"> </w:t>
      </w:r>
      <w:r>
        <w:t xml:space="preserve">“</w:t>
      </w:r>
      <w:r>
        <w:t xml:space="preserve">find / -name</w:t>
      </w:r>
      <w:r>
        <w:t xml:space="preserve">”</w:t>
      </w:r>
      <w:r>
        <w:t xml:space="preserve">*.txt” -type f”.</w:t>
      </w:r>
    </w:p>
    <w:p>
      <w:pPr>
        <w:numPr>
          <w:ilvl w:val="0"/>
          <w:numId w:val="1040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41"/>
        </w:numPr>
        <w:pStyle w:val="Compact"/>
      </w:pPr>
      <w:r>
        <w:t xml:space="preserve">Да, можно найти файл по его содержимому, используя команду grep. Например:</w:t>
      </w:r>
      <w:r>
        <w:t xml:space="preserve"> </w:t>
      </w:r>
      <w:r>
        <w:t xml:space="preserve">“</w:t>
      </w:r>
      <w:r>
        <w:t xml:space="preserve">grep -rl</w:t>
      </w:r>
      <w:r>
        <w:t xml:space="preserve">”</w:t>
      </w:r>
      <w:r>
        <w:t xml:space="preserve">искомый текст” /путь/к/каталогу”.</w:t>
      </w:r>
    </w:p>
    <w:p>
      <w:pPr>
        <w:numPr>
          <w:ilvl w:val="0"/>
          <w:numId w:val="104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43"/>
        </w:numPr>
        <w:pStyle w:val="Compact"/>
      </w:pPr>
      <w:r>
        <w:t xml:space="preserve">Для определения объема свободной памяти на диске можно использовать команду</w:t>
      </w:r>
      <w:r>
        <w:t xml:space="preserve"> </w:t>
      </w:r>
      <w:r>
        <w:t xml:space="preserve">“</w:t>
      </w:r>
      <w:r>
        <w:t xml:space="preserve">df -h</w:t>
      </w:r>
      <w:r>
        <w:t xml:space="preserve">”</w:t>
      </w:r>
      <w:r>
        <w:t xml:space="preserve">.</w:t>
      </w:r>
    </w:p>
    <w:p>
      <w:pPr>
        <w:numPr>
          <w:ilvl w:val="0"/>
          <w:numId w:val="1044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45"/>
        </w:numPr>
        <w:pStyle w:val="Compact"/>
      </w:pPr>
      <w:r>
        <w:t xml:space="preserve">Для определения объема домашнего каталога можно использовать команду</w:t>
      </w:r>
      <w:r>
        <w:t xml:space="preserve"> </w:t>
      </w:r>
      <w:r>
        <w:t xml:space="preserve">“</w:t>
      </w:r>
      <w:r>
        <w:t xml:space="preserve">du -sh ~</w:t>
      </w:r>
      <w:r>
        <w:t xml:space="preserve">”</w:t>
      </w:r>
      <w:r>
        <w:t xml:space="preserve">.</w:t>
      </w:r>
    </w:p>
    <w:p>
      <w:pPr>
        <w:numPr>
          <w:ilvl w:val="0"/>
          <w:numId w:val="1046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47"/>
        </w:numPr>
        <w:pStyle w:val="Compact"/>
      </w:pPr>
      <w:r>
        <w:t xml:space="preserve">Для удаления зависшего процесса можно использовать команду</w:t>
      </w:r>
      <w:r>
        <w:t xml:space="preserve"> </w:t>
      </w:r>
      <w:r>
        <w:t xml:space="preserve">“</w:t>
      </w:r>
      <w:r>
        <w:t xml:space="preserve">kill PID</w:t>
      </w:r>
      <w:r>
        <w:t xml:space="preserve">”</w:t>
      </w:r>
      <w:r>
        <w:t xml:space="preserve">, где PID - идентификатор процесса.</w:t>
      </w:r>
    </w:p>
    <w:bookmarkEnd w:id="88"/>
    <w:bookmarkEnd w:id="89"/>
    <w:bookmarkStart w:id="90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программ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1"/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1"/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  <w:num w:numId="102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2">
    <w:abstractNumId w:val="991"/>
  </w:num>
  <w:num w:numId="102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1"/>
  </w:num>
  <w:num w:numId="103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1"/>
  </w:num>
  <w:num w:numId="103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5">
    <w:abstractNumId w:val="991"/>
  </w:num>
  <w:num w:numId="103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7">
    <w:abstractNumId w:val="991"/>
  </w:num>
  <w:num w:numId="103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9">
    <w:abstractNumId w:val="991"/>
  </w:num>
  <w:num w:numId="104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1">
    <w:abstractNumId w:val="991"/>
  </w:num>
  <w:num w:numId="104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3">
    <w:abstractNumId w:val="991"/>
  </w:num>
  <w:num w:numId="104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5">
    <w:abstractNumId w:val="991"/>
  </w:num>
  <w:num w:numId="104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70" Target="media/rId70.png" /><Relationship Type="http://schemas.openxmlformats.org/officeDocument/2006/relationships/image" Id="rId85" Target="media/rId85.png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8</dc:title>
  <dc:creator>Абдуллахи Бахара</dc:creator>
  <dc:language>ru-RU</dc:language>
  <cp:keywords/>
  <dcterms:created xsi:type="dcterms:W3CDTF">2024-03-30T20:08:56Z</dcterms:created>
  <dcterms:modified xsi:type="dcterms:W3CDTF">2024-03-30T20:08:56Z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