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8</w:t>
      </w:r>
    </w:p>
    <w:p>
      <w:pPr>
        <w:jc w:val="center"/>
      </w:pPr>
      <w:r>
        <w:rPr>
          <w:b/>
          <w:color w:val="1F4E79"/>
          <w:sz w:val="36"/>
        </w:rPr>
        <w:t>«Экспертиза ДПП по чек-листу»</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8 «Экспертиза ДПП по чек-листу».</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экспертное заключение о качестве и готовности ДПП, реестр несоответствий и план корректирующих действий</w:t>
            </w:r>
          </w:p>
        </w:tc>
      </w:tr>
    </w:tbl>
    <w:p>
      <w:pPr>
        <w:spacing w:after="0"/>
      </w:pPr>
    </w:p>
    <w:p>
      <w:pPr>
        <w:pStyle w:val="Heading1"/>
        <w:keepNext/>
      </w:pPr>
      <w:r>
        <w:t>2. Аннотация</w:t>
      </w:r>
    </w:p>
    <w:p>
      <w:pPr>
        <w:spacing w:after="120" w:line="276" w:lineRule="auto"/>
        <w:ind w:firstLine="567"/>
      </w:pPr>
      <w:r>
        <w:t>Практическая работа посвящена теме «Экспертиза ДПП по чек-листу» и завершает разработкой прикладного продукта: экспертное заключение о качестве и готовности ДПП, реестр несоответствий и план корректирующих действий.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проводить доказательную экспертизу дпп по нормативным, методическим, логическим и организационным критериям и формулировать приоритетные корректирующие действия.</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«Экспертиза ДПП по чек-листу»;</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Установление рамки экспертизы</w:t>
            </w:r>
          </w:p>
        </w:tc>
        <w:tc>
          <w:tcPr>
            <w:tcW w:type="dxa" w:w="3307"/>
            <w:vAlign w:val="center"/>
            <w:tcMar>
              <w:top w:w="80" w:type="dxa"/>
              <w:start w:w="80" w:type="dxa"/>
              <w:bottom w:w="80" w:type="dxa"/>
              <w:end w:w="80" w:type="dxa"/>
            </w:tcMar>
          </w:tcPr>
          <w:p>
            <w:pPr>
              <w:spacing w:after="0"/>
            </w:pPr>
            <w:r/>
            <w:r>
              <w:rPr>
                <w:rFonts w:ascii="Arial" w:hAnsi="Arial"/>
                <w:b w:val="0"/>
                <w:sz w:val="16"/>
              </w:rPr>
              <w:t>15</w:t>
            </w:r>
          </w:p>
        </w:tc>
        <w:tc>
          <w:tcPr>
            <w:tcW w:type="dxa" w:w="3307"/>
            <w:vAlign w:val="center"/>
            <w:tcMar>
              <w:top w:w="80" w:type="dxa"/>
              <w:start w:w="80" w:type="dxa"/>
              <w:bottom w:w="80" w:type="dxa"/>
              <w:end w:w="80" w:type="dxa"/>
            </w:tcMar>
          </w:tcPr>
          <w:p>
            <w:pPr>
              <w:spacing w:after="0"/>
            </w:pPr>
            <w:r/>
            <w:r>
              <w:rPr>
                <w:rFonts w:ascii="Arial" w:hAnsi="Arial"/>
                <w:b w:val="0"/>
                <w:sz w:val="16"/>
              </w:rPr>
              <w:t>определены объект, критерии и версия</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Проверка структуры и нормативных параметров</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35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зафиксированы наличие и корректность разделов</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Проверка внутренней согласованности</w:t>
            </w:r>
          </w:p>
        </w:tc>
        <w:tc>
          <w:tcPr>
            <w:tcW w:type="dxa" w:w="3307"/>
            <w:vAlign w:val="center"/>
            <w:tcMar>
              <w:top w:w="80" w:type="dxa"/>
              <w:start w:w="80" w:type="dxa"/>
              <w:bottom w:w="80" w:type="dxa"/>
              <w:end w:w="80" w:type="dxa"/>
            </w:tcMar>
          </w:tcPr>
          <w:p>
            <w:pPr>
              <w:spacing w:after="0"/>
            </w:pPr>
            <w:r/>
            <w:r>
              <w:rPr>
                <w:rFonts w:ascii="Arial" w:hAnsi="Arial"/>
                <w:b w:val="0"/>
                <w:sz w:val="16"/>
              </w:rPr>
              <w:t>45</w:t>
            </w:r>
          </w:p>
        </w:tc>
        <w:tc>
          <w:tcPr>
            <w:tcW w:type="dxa" w:w="3307"/>
            <w:vAlign w:val="center"/>
            <w:tcMar>
              <w:top w:w="80" w:type="dxa"/>
              <w:start w:w="80" w:type="dxa"/>
              <w:bottom w:w="80" w:type="dxa"/>
              <w:end w:w="80" w:type="dxa"/>
            </w:tcMar>
          </w:tcPr>
          <w:p>
            <w:pPr>
              <w:spacing w:after="0"/>
            </w:pPr>
            <w:r/>
            <w:r>
              <w:rPr>
                <w:rFonts w:ascii="Arial" w:hAnsi="Arial"/>
                <w:b w:val="0"/>
                <w:sz w:val="16"/>
              </w:rPr>
              <w:t>прослежены связи цели, результатов, плана и оценивания</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Проверка условий реализации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оценены кадровые, методические, цифровые и организационные условия</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Классификация несоответствий</w:t>
            </w:r>
          </w:p>
        </w:tc>
        <w:tc>
          <w:tcPr>
            <w:tcW w:type="dxa" w:w="3307"/>
            <w:vAlign w:val="center"/>
            <w:tcMar>
              <w:top w:w="80" w:type="dxa"/>
              <w:start w:w="80" w:type="dxa"/>
              <w:bottom w:w="80" w:type="dxa"/>
              <w:end w:w="80" w:type="dxa"/>
            </w:tcMar>
          </w:tcPr>
          <w:p>
            <w:pPr>
              <w:spacing w:after="0"/>
            </w:pPr>
            <w:r/>
            <w:r>
              <w:rPr>
                <w:rFonts w:ascii="Arial" w:hAnsi="Arial"/>
                <w:b w:val="0"/>
                <w:sz w:val="16"/>
              </w:rPr>
              <w:t>25</w:t>
            </w:r>
          </w:p>
        </w:tc>
        <w:tc>
          <w:tcPr>
            <w:tcW w:type="dxa" w:w="3307"/>
            <w:vAlign w:val="center"/>
            <w:tcMar>
              <w:top w:w="80" w:type="dxa"/>
              <w:start w:w="80" w:type="dxa"/>
              <w:bottom w:w="80" w:type="dxa"/>
              <w:end w:w="80" w:type="dxa"/>
            </w:tcMar>
          </w:tcPr>
          <w:p>
            <w:pPr>
              <w:spacing w:after="0"/>
            </w:pPr>
            <w:r/>
            <w:r>
              <w:rPr>
                <w:rFonts w:ascii="Arial" w:hAnsi="Arial"/>
                <w:b w:val="0"/>
                <w:sz w:val="16"/>
              </w:rPr>
              <w:t>замечания снабжены доказательствами и приоритетом</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Заключение и план действий</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сформулированы решение и проверяемые корректирующие действия</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Защита</w:t>
            </w:r>
          </w:p>
        </w:tc>
        <w:tc>
          <w:tcPr>
            <w:tcW w:type="dxa" w:w="3307"/>
            <w:vAlign w:val="center"/>
            <w:tcMar>
              <w:top w:w="80" w:type="dxa"/>
              <w:start w:w="80" w:type="dxa"/>
              <w:bottom w:w="80" w:type="dxa"/>
              <w:end w:w="80" w:type="dxa"/>
            </w:tcMar>
          </w:tcPr>
          <w:p>
            <w:pPr>
              <w:spacing w:after="0"/>
            </w:pPr>
            <w:r/>
            <w:r>
              <w:rPr>
                <w:rFonts w:ascii="Arial" w:hAnsi="Arial"/>
                <w:b w:val="0"/>
                <w:sz w:val="16"/>
              </w:rPr>
              <w:t>10</w:t>
            </w:r>
          </w:p>
        </w:tc>
        <w:tc>
          <w:tcPr>
            <w:tcW w:type="dxa" w:w="3307"/>
            <w:vAlign w:val="center"/>
            <w:tcMar>
              <w:top w:w="80" w:type="dxa"/>
              <w:start w:w="80" w:type="dxa"/>
              <w:bottom w:w="80" w:type="dxa"/>
              <w:end w:w="80" w:type="dxa"/>
            </w:tcMar>
          </w:tcPr>
          <w:p>
            <w:pPr>
              <w:spacing w:after="0"/>
            </w:pPr>
            <w:r/>
            <w:r>
              <w:rPr>
                <w:rFonts w:ascii="Arial" w:hAnsi="Arial"/>
                <w:b w:val="0"/>
                <w:sz w:val="16"/>
              </w:rPr>
              <w:t>представлены три ключевых вывода без подмены фактов мнением</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Фамилия_М5_ПР08.docx.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На утверждение представлена ДПП профессиональной переподготовки «Специалист по организации корпоративного обучения» объемом 256 часов. Разделы подготовлены разными авторами: в паспорте указана одна квалификация, в результатах — другая деятельность; сумма учебного плана составляет 252 часа; итоговая аттестация проверяет только знания; условия дистанционного обучения описаны общими фразами. До утверждения необходимо провести экспертизу, отделить критические несоответствия от редакционных замечаний и сформулировать заключение о степени готовности.</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Объект</w:t>
            </w:r>
          </w:p>
        </w:tc>
        <w:tc>
          <w:tcPr>
            <w:tcW w:type="dxa" w:w="4961"/>
            <w:vAlign w:val="center"/>
            <w:tcMar>
              <w:top w:w="80" w:type="dxa"/>
              <w:start w:w="80" w:type="dxa"/>
              <w:bottom w:w="80" w:type="dxa"/>
              <w:end w:w="80" w:type="dxa"/>
            </w:tcMar>
          </w:tcPr>
          <w:p>
            <w:pPr>
              <w:spacing w:after="0"/>
            </w:pPr>
            <w:r/>
            <w:r>
              <w:rPr>
                <w:rFonts w:ascii="Arial" w:hAnsi="Arial"/>
                <w:b w:val="0"/>
                <w:sz w:val="17"/>
              </w:rPr>
              <w:t>проект ДПП профессиональной переподготовки на 256 часов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Статус</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 до утверждения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Заявленная квалификация</w:t>
            </w:r>
          </w:p>
        </w:tc>
        <w:tc>
          <w:tcPr>
            <w:tcW w:type="dxa" w:w="4961"/>
            <w:vAlign w:val="center"/>
            <w:tcMar>
              <w:top w:w="80" w:type="dxa"/>
              <w:start w:w="80" w:type="dxa"/>
              <w:bottom w:w="80" w:type="dxa"/>
              <w:end w:w="80" w:type="dxa"/>
            </w:tcMar>
          </w:tcPr>
          <w:p>
            <w:pPr>
              <w:spacing w:after="0"/>
            </w:pPr>
            <w:r/>
            <w:r>
              <w:rPr>
                <w:rFonts w:ascii="Arial" w:hAnsi="Arial"/>
                <w:b w:val="0"/>
                <w:sz w:val="17"/>
              </w:rPr>
              <w:t>специалист по организации корпоративного обучения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Обнаруживаемые расхождения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252/256 часов; разные формулировки квалификации; результаты-темы; несогласованная аттестация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Дополнительные риски</w:t>
            </w:r>
          </w:p>
        </w:tc>
        <w:tc>
          <w:tcPr>
            <w:tcW w:type="dxa" w:w="4961"/>
            <w:vAlign w:val="center"/>
            <w:tcMar>
              <w:top w:w="80" w:type="dxa"/>
              <w:start w:w="80" w:type="dxa"/>
              <w:bottom w:w="80" w:type="dxa"/>
              <w:end w:w="80" w:type="dxa"/>
            </w:tcMar>
          </w:tcPr>
          <w:p>
            <w:pPr>
              <w:spacing w:after="0"/>
            </w:pPr>
            <w:r/>
            <w:r>
              <w:rPr>
                <w:rFonts w:ascii="Arial" w:hAnsi="Arial"/>
                <w:b w:val="0"/>
                <w:sz w:val="17"/>
              </w:rPr>
              <w:t>неполные условия ЭО/ДОТ; отсутствует карта оценочных средств; источники без проверки актуальности</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Результат экспертизы</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готова; условно готова после устранения замечаний; не готова к утверждению</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Принцип</w:t>
            </w:r>
          </w:p>
        </w:tc>
        <w:tc>
          <w:tcPr>
            <w:tcW w:type="dxa" w:w="4961"/>
            <w:vAlign w:val="center"/>
            <w:tcMar>
              <w:top w:w="80" w:type="dxa"/>
              <w:start w:w="80" w:type="dxa"/>
              <w:bottom w:w="80" w:type="dxa"/>
              <w:end w:w="80" w:type="dxa"/>
            </w:tcMar>
          </w:tcPr>
          <w:p>
            <w:pPr>
              <w:spacing w:after="0"/>
            </w:pPr>
            <w:r/>
            <w:r>
              <w:rPr>
                <w:rFonts w:ascii="Arial" w:hAnsi="Arial"/>
                <w:b w:val="0"/>
                <w:sz w:val="17"/>
              </w:rPr>
              <w:t>каждый вывод подтверждается местом в документе и проверяемым критерием</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Приоритет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критическое — препятствует утверждению/реализации; существенное — снижает достижимость; редакционное — не меняет модель</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экспертное заключение о качестве и готовности ДПП, реестр несоответствий и план корректирующих действий.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заполненный чек-лист экспертизы;</w:t>
      </w:r>
    </w:p>
    <w:p>
      <w:pPr>
        <w:pStyle w:val="ListBullet"/>
        <w:spacing w:after="60"/>
      </w:pPr>
      <w:r>
        <w:t>реестр несоответствий с доказательствами и приоритетами;</w:t>
      </w:r>
    </w:p>
    <w:p>
      <w:pPr>
        <w:pStyle w:val="ListBullet"/>
        <w:spacing w:after="60"/>
      </w:pPr>
      <w:r>
        <w:t>экспертное заключение;</w:t>
      </w:r>
    </w:p>
    <w:p>
      <w:pPr>
        <w:pStyle w:val="ListBullet"/>
        <w:spacing w:after="60"/>
      </w:pPr>
      <w:r>
        <w:t>план корректирующих действий с ответственными ролями и контрольными точками;</w:t>
      </w:r>
    </w:p>
    <w:p>
      <w:pPr>
        <w:pStyle w:val="ListBullet"/>
        <w:spacing w:after="60"/>
      </w:pPr>
      <w:r>
        <w:t>карта повторной проверки;</w:t>
      </w:r>
    </w:p>
    <w:p>
      <w:pPr>
        <w:pStyle w:val="ListBullet"/>
        <w:spacing w:after="60"/>
      </w:pPr>
      <w:r>
        <w:t>краткая презентация вывода для разработчиков программы.</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«Экспертиза ДПП по чек-листу».</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Полнота проверки</w:t>
            </w:r>
          </w:p>
        </w:tc>
        <w:tc>
          <w:tcPr>
            <w:tcW w:type="dxa" w:w="2480"/>
            <w:vAlign w:val="center"/>
            <w:tcMar>
              <w:top w:w="80" w:type="dxa"/>
              <w:start w:w="80" w:type="dxa"/>
              <w:bottom w:w="80" w:type="dxa"/>
              <w:end w:w="80" w:type="dxa"/>
            </w:tcMar>
          </w:tcPr>
          <w:p>
            <w:pPr>
              <w:spacing w:after="0"/>
            </w:pPr>
            <w:r/>
            <w:r>
              <w:rPr>
                <w:rFonts w:ascii="Arial" w:hAnsi="Arial"/>
                <w:b w:val="0"/>
                <w:sz w:val="16"/>
              </w:rPr>
              <w:t>экспертиза охватывает структуру, содержание, оценивание и условия</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Доказательность</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каждое замечание содержит критерий и ссылку на место в проекте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Проверка согласованности</w:t>
            </w:r>
          </w:p>
        </w:tc>
        <w:tc>
          <w:tcPr>
            <w:tcW w:type="dxa" w:w="2480"/>
            <w:vAlign w:val="center"/>
            <w:tcMar>
              <w:top w:w="80" w:type="dxa"/>
              <w:start w:w="80" w:type="dxa"/>
              <w:bottom w:w="80" w:type="dxa"/>
              <w:end w:w="80" w:type="dxa"/>
            </w:tcMar>
          </w:tcPr>
          <w:p>
            <w:pPr>
              <w:spacing w:after="0"/>
            </w:pPr>
            <w:r/>
            <w:r>
              <w:rPr>
                <w:rFonts w:ascii="Arial" w:hAnsi="Arial"/>
                <w:b w:val="0"/>
                <w:sz w:val="16"/>
              </w:rPr>
              <w:t>выявлены разрывы между целью, результатами, планом и контролем</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Приоритизация рисков</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критические, существенные и редакционные замечания разграничены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Корректирующие действия</w:t>
            </w:r>
          </w:p>
        </w:tc>
        <w:tc>
          <w:tcPr>
            <w:tcW w:type="dxa" w:w="2480"/>
            <w:vAlign w:val="center"/>
            <w:tcMar>
              <w:top w:w="80" w:type="dxa"/>
              <w:start w:w="80" w:type="dxa"/>
              <w:bottom w:w="80" w:type="dxa"/>
              <w:end w:w="80" w:type="dxa"/>
            </w:tcMar>
          </w:tcPr>
          <w:p>
            <w:pPr>
              <w:spacing w:after="0"/>
            </w:pPr>
            <w:r/>
            <w:r>
              <w:rPr>
                <w:rFonts w:ascii="Arial" w:hAnsi="Arial"/>
                <w:b w:val="0"/>
                <w:sz w:val="16"/>
              </w:rPr>
              <w:t>действия конкретны, соразмерны и проверяемы</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Экспертное заключение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итоговый статус логически следует из фактов</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Профессиональная корректность</w:t>
            </w:r>
          </w:p>
        </w:tc>
        <w:tc>
          <w:tcPr>
            <w:tcW w:type="dxa" w:w="2480"/>
            <w:vAlign w:val="center"/>
            <w:tcMar>
              <w:top w:w="80" w:type="dxa"/>
              <w:start w:w="80" w:type="dxa"/>
              <w:bottom w:w="80" w:type="dxa"/>
              <w:end w:w="80" w:type="dxa"/>
            </w:tcMar>
          </w:tcPr>
          <w:p>
            <w:pPr>
              <w:spacing w:after="0"/>
            </w:pPr>
            <w:r/>
            <w:r>
              <w:rPr>
                <w:rFonts w:ascii="Arial" w:hAnsi="Arial"/>
                <w:b w:val="0"/>
                <w:sz w:val="16"/>
              </w:rPr>
              <w:t>формулировки нейтральны, не выходят за компетенцию эксперта</w:t>
            </w:r>
          </w:p>
        </w:tc>
        <w:tc>
          <w:tcPr>
            <w:tcW w:type="dxa" w:w="2480"/>
            <w:vAlign w:val="center"/>
            <w:tcMar>
              <w:top w:w="80" w:type="dxa"/>
              <w:start w:w="80" w:type="dxa"/>
              <w:bottom w:w="80" w:type="dxa"/>
              <w:end w:w="80" w:type="dxa"/>
            </w:tcMar>
          </w:tcPr>
          <w:p>
            <w:pPr>
              <w:spacing w:after="0"/>
            </w:pPr>
            <w:r/>
            <w:r>
              <w:rPr>
                <w:rFonts w:ascii="Arial" w:hAnsi="Arial"/>
                <w:b w:val="0"/>
                <w:sz w:val="16"/>
              </w:rPr>
              <w:t>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8</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Оформление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чек-лист, реестр и заключение образуют единый пакет</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t>ИТОГО</w:t>
            </w:r>
          </w:p>
        </w:tc>
        <w:tc>
          <w:tcPr>
            <w:tcW w:type="dxa" w:w="2480"/>
            <w:vAlign w:val="center"/>
            <w:tcMar>
              <w:top w:w="80" w:type="dxa"/>
              <w:start w:w="80" w:type="dxa"/>
              <w:bottom w:w="80" w:type="dxa"/>
              <w:end w:w="80" w:type="dxa"/>
            </w:tcMar>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эксперт оценивает вкусовые предпочтения вместо критериев;</w:t>
      </w:r>
    </w:p>
    <w:p>
      <w:pPr>
        <w:pStyle w:val="ListBullet"/>
        <w:spacing w:after="60"/>
      </w:pPr>
      <w:r>
        <w:t>замечание не содержит ссылки на раздел или доказательство;</w:t>
      </w:r>
    </w:p>
    <w:p>
      <w:pPr>
        <w:pStyle w:val="ListBullet"/>
        <w:spacing w:after="60"/>
      </w:pPr>
      <w:r>
        <w:t>арифметическая ошибка и опечатка получают одинаковый приоритет;</w:t>
      </w:r>
    </w:p>
    <w:p>
      <w:pPr>
        <w:pStyle w:val="ListBullet"/>
        <w:spacing w:after="60"/>
      </w:pPr>
      <w:r>
        <w:t>предлагается переписать документ без указания ожидаемого результата корректировки;</w:t>
      </w:r>
    </w:p>
    <w:p>
      <w:pPr>
        <w:pStyle w:val="ListBullet"/>
        <w:spacing w:after="60"/>
      </w:pPr>
      <w:r>
        <w:t>проверяется наличие раздела, но не его согласованность с другими разделами;</w:t>
      </w:r>
    </w:p>
    <w:p>
      <w:pPr>
        <w:pStyle w:val="ListBullet"/>
        <w:spacing w:after="60"/>
      </w:pPr>
      <w:r>
        <w:t>заключение «готово» противоречит выявленным критическим несоответствиям;</w:t>
      </w:r>
    </w:p>
    <w:p>
      <w:pPr>
        <w:pStyle w:val="ListBullet"/>
        <w:spacing w:after="60"/>
      </w:pPr>
      <w:r>
        <w:t>эксперт выдает методический шаблон за обязательную государственную форму.</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Фиксируйте версию и дату проекта до начала экспертизы.</w:t>
      </w:r>
    </w:p>
    <w:p>
      <w:pPr>
        <w:pStyle w:val="ListBullet"/>
        <w:spacing w:after="60"/>
      </w:pPr>
      <w:r>
        <w:t>Формулируйте замечание по модели: критерий — факт — риск — действие — подтверждение устранения.</w:t>
      </w:r>
    </w:p>
    <w:p>
      <w:pPr>
        <w:pStyle w:val="ListBullet"/>
        <w:spacing w:after="60"/>
      </w:pPr>
      <w:r>
        <w:t>Проверяйте связи, а не только наличие разделов.</w:t>
      </w:r>
    </w:p>
    <w:p>
      <w:pPr>
        <w:pStyle w:val="ListBullet"/>
        <w:spacing w:after="60"/>
      </w:pPr>
      <w:r>
        <w:t>Разделяйте готовность к утверждению и потенциал темы программы.</w:t>
      </w:r>
    </w:p>
    <w:p>
      <w:pPr>
        <w:pStyle w:val="ListBullet"/>
        <w:spacing w:after="60"/>
      </w:pPr>
      <w:r>
        <w:t>Повторную проверку проводите по закрытию каждого критического и существенного замечания.</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версия объекта экспертизы зафиксирована;</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использован полный чек-лист;</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арифметика учебного плана проверена;</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цель и квалификация согласованы;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результаты измеримы;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оценочные средства покрывают результаты;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условия реализации конкретны;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каждое замечание доказательно;</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приоритет замечаний обоснован;</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итоговый статус следует из реестра несоответствий.</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Чек-лист экспертизы ДПП</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417"/>
            <w:shd w:fill="1F4E79"/>
            <w:vAlign w:val="center"/>
            <w:tcMar>
              <w:top w:w="80" w:type="dxa"/>
              <w:start w:w="80" w:type="dxa"/>
              <w:bottom w:w="80" w:type="dxa"/>
              <w:end w:w="80" w:type="dxa"/>
            </w:tcMar>
          </w:tcPr>
          <w:p>
            <w:pPr>
              <w:spacing w:after="0"/>
            </w:pPr>
            <w:r/>
            <w:r>
              <w:rPr>
                <w:rFonts w:ascii="Arial" w:hAnsi="Arial"/>
                <w:b/>
                <w:color w:val="FFFFFF"/>
                <w:sz w:val="12"/>
              </w:rPr>
              <w:t>№</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2"/>
              </w:rPr>
              <w:t>Объект</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2"/>
              </w:rPr>
              <w:t>Контрольный вопрос</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2"/>
              </w:rPr>
              <w:t>Да</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2"/>
              </w:rPr>
              <w:t>Частично</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2"/>
              </w:rPr>
              <w:t>Нет</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2"/>
              </w:rPr>
              <w:t>Доказательство/раздел</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1</w:t>
            </w:r>
          </w:p>
        </w:tc>
        <w:tc>
          <w:tcPr>
            <w:tcW w:type="dxa" w:w="1417"/>
            <w:vAlign w:val="center"/>
            <w:tcMar>
              <w:top w:w="80" w:type="dxa"/>
              <w:start w:w="80" w:type="dxa"/>
              <w:bottom w:w="80" w:type="dxa"/>
              <w:end w:w="80" w:type="dxa"/>
            </w:tcMar>
          </w:tcPr>
          <w:p>
            <w:pPr>
              <w:spacing w:after="0"/>
            </w:pPr>
            <w:r/>
            <w:r>
              <w:rPr>
                <w:rFonts w:ascii="Arial" w:hAnsi="Arial"/>
                <w:b w:val="0"/>
                <w:sz w:val="12"/>
              </w:rPr>
              <w:t>Идентификация</w:t>
            </w:r>
          </w:p>
        </w:tc>
        <w:tc>
          <w:tcPr>
            <w:tcW w:type="dxa" w:w="1417"/>
            <w:vAlign w:val="center"/>
            <w:tcMar>
              <w:top w:w="80" w:type="dxa"/>
              <w:start w:w="80" w:type="dxa"/>
              <w:bottom w:w="80" w:type="dxa"/>
              <w:end w:w="80" w:type="dxa"/>
            </w:tcMar>
          </w:tcPr>
          <w:p>
            <w:pPr>
              <w:spacing w:after="0"/>
            </w:pPr>
            <w:r/>
            <w:r>
              <w:rPr>
                <w:rFonts w:ascii="Arial" w:hAnsi="Arial"/>
                <w:b w:val="0"/>
                <w:sz w:val="12"/>
              </w:rPr>
              <w:t>наименование, вид, версия, дата и организация определены</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Цель</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связана с профессиональной деятельностью</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3</w:t>
            </w:r>
          </w:p>
        </w:tc>
        <w:tc>
          <w:tcPr>
            <w:tcW w:type="dxa" w:w="1417"/>
            <w:vAlign w:val="center"/>
            <w:tcMar>
              <w:top w:w="80" w:type="dxa"/>
              <w:start w:w="80" w:type="dxa"/>
              <w:bottom w:w="80" w:type="dxa"/>
              <w:end w:w="80" w:type="dxa"/>
            </w:tcMar>
          </w:tcPr>
          <w:p>
            <w:pPr>
              <w:spacing w:after="0"/>
            </w:pPr>
            <w:r/>
            <w:r>
              <w:rPr>
                <w:rFonts w:ascii="Arial" w:hAnsi="Arial"/>
                <w:b w:val="0"/>
                <w:sz w:val="12"/>
              </w:rPr>
              <w:t>Категория слушателей</w:t>
            </w:r>
          </w:p>
        </w:tc>
        <w:tc>
          <w:tcPr>
            <w:tcW w:type="dxa" w:w="1417"/>
            <w:vAlign w:val="center"/>
            <w:tcMar>
              <w:top w:w="80" w:type="dxa"/>
              <w:start w:w="80" w:type="dxa"/>
              <w:bottom w:w="80" w:type="dxa"/>
              <w:end w:w="80" w:type="dxa"/>
            </w:tcMar>
          </w:tcPr>
          <w:p>
            <w:pPr>
              <w:spacing w:after="0"/>
            </w:pPr>
            <w:r/>
            <w:r>
              <w:rPr>
                <w:rFonts w:ascii="Arial" w:hAnsi="Arial"/>
                <w:b w:val="0"/>
                <w:sz w:val="12"/>
              </w:rPr>
              <w:t>соответствует требованиям допуска</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4</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Квалификация</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одинаково указана во всех разделах</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5</w:t>
            </w:r>
          </w:p>
        </w:tc>
        <w:tc>
          <w:tcPr>
            <w:tcW w:type="dxa" w:w="1417"/>
            <w:vAlign w:val="center"/>
            <w:tcMar>
              <w:top w:w="80" w:type="dxa"/>
              <w:start w:w="80" w:type="dxa"/>
              <w:bottom w:w="80" w:type="dxa"/>
              <w:end w:w="80" w:type="dxa"/>
            </w:tcMar>
          </w:tcPr>
          <w:p>
            <w:pPr>
              <w:spacing w:after="0"/>
            </w:pPr>
            <w:r/>
            <w:r>
              <w:rPr>
                <w:rFonts w:ascii="Arial" w:hAnsi="Arial"/>
                <w:b w:val="0"/>
                <w:sz w:val="12"/>
              </w:rPr>
              <w:t>Объем</w:t>
            </w:r>
          </w:p>
        </w:tc>
        <w:tc>
          <w:tcPr>
            <w:tcW w:type="dxa" w:w="1417"/>
            <w:vAlign w:val="center"/>
            <w:tcMar>
              <w:top w:w="80" w:type="dxa"/>
              <w:start w:w="80" w:type="dxa"/>
              <w:bottom w:w="80" w:type="dxa"/>
              <w:end w:w="80" w:type="dxa"/>
            </w:tcMar>
          </w:tcPr>
          <w:p>
            <w:pPr>
              <w:spacing w:after="0"/>
            </w:pPr>
            <w:r/>
            <w:r>
              <w:rPr>
                <w:rFonts w:ascii="Arial" w:hAnsi="Arial"/>
                <w:b w:val="0"/>
                <w:sz w:val="12"/>
              </w:rPr>
              <w:t>соответствует виду программы и учебному плану</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6</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Результаты</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измеримы и проверяемы</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7</w:t>
            </w:r>
          </w:p>
        </w:tc>
        <w:tc>
          <w:tcPr>
            <w:tcW w:type="dxa" w:w="1417"/>
            <w:vAlign w:val="center"/>
            <w:tcMar>
              <w:top w:w="80" w:type="dxa"/>
              <w:start w:w="80" w:type="dxa"/>
              <w:bottom w:w="80" w:type="dxa"/>
              <w:end w:w="80" w:type="dxa"/>
            </w:tcMar>
          </w:tcPr>
          <w:p>
            <w:pPr>
              <w:spacing w:after="0"/>
            </w:pPr>
            <w:r/>
            <w:r>
              <w:rPr>
                <w:rFonts w:ascii="Arial" w:hAnsi="Arial"/>
                <w:b w:val="0"/>
                <w:sz w:val="12"/>
              </w:rPr>
              <w:t>Компетенции</w:t>
            </w:r>
          </w:p>
        </w:tc>
        <w:tc>
          <w:tcPr>
            <w:tcW w:type="dxa" w:w="1417"/>
            <w:vAlign w:val="center"/>
            <w:tcMar>
              <w:top w:w="80" w:type="dxa"/>
              <w:start w:w="80" w:type="dxa"/>
              <w:bottom w:w="80" w:type="dxa"/>
              <w:end w:w="80" w:type="dxa"/>
            </w:tcMar>
          </w:tcPr>
          <w:p>
            <w:pPr>
              <w:spacing w:after="0"/>
            </w:pPr>
            <w:r/>
            <w:r>
              <w:rPr>
                <w:rFonts w:ascii="Arial" w:hAnsi="Arial"/>
                <w:b w:val="0"/>
                <w:sz w:val="12"/>
              </w:rPr>
              <w:t>раскрыты через действия и индикаторы</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8</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Учебный план</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суммы по строкам и столбцам совпадают</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9</w:t>
            </w:r>
          </w:p>
        </w:tc>
        <w:tc>
          <w:tcPr>
            <w:tcW w:type="dxa" w:w="1417"/>
            <w:vAlign w:val="center"/>
            <w:tcMar>
              <w:top w:w="80" w:type="dxa"/>
              <w:start w:w="80" w:type="dxa"/>
              <w:bottom w:w="80" w:type="dxa"/>
              <w:end w:w="80" w:type="dxa"/>
            </w:tcMar>
          </w:tcPr>
          <w:p>
            <w:pPr>
              <w:spacing w:after="0"/>
            </w:pPr>
            <w:r/>
            <w:r>
              <w:rPr>
                <w:rFonts w:ascii="Arial" w:hAnsi="Arial"/>
                <w:b w:val="0"/>
                <w:sz w:val="12"/>
              </w:rPr>
              <w:t>Модули</w:t>
            </w:r>
          </w:p>
        </w:tc>
        <w:tc>
          <w:tcPr>
            <w:tcW w:type="dxa" w:w="1417"/>
            <w:vAlign w:val="center"/>
            <w:tcMar>
              <w:top w:w="80" w:type="dxa"/>
              <w:start w:w="80" w:type="dxa"/>
              <w:bottom w:w="80" w:type="dxa"/>
              <w:end w:w="80" w:type="dxa"/>
            </w:tcMar>
          </w:tcPr>
          <w:p>
            <w:pPr>
              <w:spacing w:after="0"/>
            </w:pPr>
            <w:r/>
            <w:r>
              <w:rPr>
                <w:rFonts w:ascii="Arial" w:hAnsi="Arial"/>
                <w:b w:val="0"/>
                <w:sz w:val="12"/>
              </w:rPr>
              <w:t>последовательность обоснована</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10</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Практика</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формирует заявленные действия</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11</w:t>
            </w:r>
          </w:p>
        </w:tc>
        <w:tc>
          <w:tcPr>
            <w:tcW w:type="dxa" w:w="1417"/>
            <w:vAlign w:val="center"/>
            <w:tcMar>
              <w:top w:w="80" w:type="dxa"/>
              <w:start w:w="80" w:type="dxa"/>
              <w:bottom w:w="80" w:type="dxa"/>
              <w:end w:w="80" w:type="dxa"/>
            </w:tcMar>
          </w:tcPr>
          <w:p>
            <w:pPr>
              <w:spacing w:after="0"/>
            </w:pPr>
            <w:r/>
            <w:r>
              <w:rPr>
                <w:rFonts w:ascii="Arial" w:hAnsi="Arial"/>
                <w:b w:val="0"/>
                <w:sz w:val="12"/>
              </w:rPr>
              <w:t>Самостоятельная работа</w:t>
            </w:r>
          </w:p>
        </w:tc>
        <w:tc>
          <w:tcPr>
            <w:tcW w:type="dxa" w:w="1417"/>
            <w:vAlign w:val="center"/>
            <w:tcMar>
              <w:top w:w="80" w:type="dxa"/>
              <w:start w:w="80" w:type="dxa"/>
              <w:bottom w:w="80" w:type="dxa"/>
              <w:end w:w="80" w:type="dxa"/>
            </w:tcMar>
          </w:tcPr>
          <w:p>
            <w:pPr>
              <w:spacing w:after="0"/>
            </w:pPr>
            <w:r/>
            <w:r>
              <w:rPr>
                <w:rFonts w:ascii="Arial" w:hAnsi="Arial"/>
                <w:b w:val="0"/>
                <w:sz w:val="12"/>
              </w:rPr>
              <w:t>имеет продукты и сопровождение</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12</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Промежуточная аттестация</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соответствует результатам модулей</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13</w:t>
            </w:r>
          </w:p>
        </w:tc>
        <w:tc>
          <w:tcPr>
            <w:tcW w:type="dxa" w:w="1417"/>
            <w:vAlign w:val="center"/>
            <w:tcMar>
              <w:top w:w="80" w:type="dxa"/>
              <w:start w:w="80" w:type="dxa"/>
              <w:bottom w:w="80" w:type="dxa"/>
              <w:end w:w="80" w:type="dxa"/>
            </w:tcMar>
          </w:tcPr>
          <w:p>
            <w:pPr>
              <w:spacing w:after="0"/>
            </w:pPr>
            <w:r/>
            <w:r>
              <w:rPr>
                <w:rFonts w:ascii="Arial" w:hAnsi="Arial"/>
                <w:b w:val="0"/>
                <w:sz w:val="12"/>
              </w:rPr>
              <w:t>Итоговая аттестация</w:t>
            </w:r>
          </w:p>
        </w:tc>
        <w:tc>
          <w:tcPr>
            <w:tcW w:type="dxa" w:w="1417"/>
            <w:vAlign w:val="center"/>
            <w:tcMar>
              <w:top w:w="80" w:type="dxa"/>
              <w:start w:w="80" w:type="dxa"/>
              <w:bottom w:w="80" w:type="dxa"/>
              <w:end w:w="80" w:type="dxa"/>
            </w:tcMar>
          </w:tcPr>
          <w:p>
            <w:pPr>
              <w:spacing w:after="0"/>
            </w:pPr>
            <w:r/>
            <w:r>
              <w:rPr>
                <w:rFonts w:ascii="Arial" w:hAnsi="Arial"/>
                <w:b w:val="0"/>
                <w:sz w:val="12"/>
              </w:rPr>
              <w:t>проверяет совокупность результатов</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14</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Критерии</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прозрачны и измеримы</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15</w:t>
            </w:r>
          </w:p>
        </w:tc>
        <w:tc>
          <w:tcPr>
            <w:tcW w:type="dxa" w:w="1417"/>
            <w:vAlign w:val="center"/>
            <w:tcMar>
              <w:top w:w="80" w:type="dxa"/>
              <w:start w:w="80" w:type="dxa"/>
              <w:bottom w:w="80" w:type="dxa"/>
              <w:end w:w="80" w:type="dxa"/>
            </w:tcMar>
          </w:tcPr>
          <w:p>
            <w:pPr>
              <w:spacing w:after="0"/>
            </w:pPr>
            <w:r/>
            <w:r>
              <w:rPr>
                <w:rFonts w:ascii="Arial" w:hAnsi="Arial"/>
                <w:b w:val="0"/>
                <w:sz w:val="12"/>
              </w:rPr>
              <w:t>Календарный график</w:t>
            </w:r>
          </w:p>
        </w:tc>
        <w:tc>
          <w:tcPr>
            <w:tcW w:type="dxa" w:w="1417"/>
            <w:vAlign w:val="center"/>
            <w:tcMar>
              <w:top w:w="80" w:type="dxa"/>
              <w:start w:w="80" w:type="dxa"/>
              <w:bottom w:w="80" w:type="dxa"/>
              <w:end w:w="80" w:type="dxa"/>
            </w:tcMar>
          </w:tcPr>
          <w:p>
            <w:pPr>
              <w:spacing w:after="0"/>
            </w:pPr>
            <w:r/>
            <w:r>
              <w:rPr>
                <w:rFonts w:ascii="Arial" w:hAnsi="Arial"/>
                <w:b w:val="0"/>
                <w:sz w:val="12"/>
              </w:rPr>
              <w:t>соответствует плану и сроку</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16</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Рабочие программы</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согласованы с паспортом и планом</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17</w:t>
            </w:r>
          </w:p>
        </w:tc>
        <w:tc>
          <w:tcPr>
            <w:tcW w:type="dxa" w:w="1417"/>
            <w:vAlign w:val="center"/>
            <w:tcMar>
              <w:top w:w="80" w:type="dxa"/>
              <w:start w:w="80" w:type="dxa"/>
              <w:bottom w:w="80" w:type="dxa"/>
              <w:end w:w="80" w:type="dxa"/>
            </w:tcMar>
          </w:tcPr>
          <w:p>
            <w:pPr>
              <w:spacing w:after="0"/>
            </w:pPr>
            <w:r/>
            <w:r>
              <w:rPr>
                <w:rFonts w:ascii="Arial" w:hAnsi="Arial"/>
                <w:b w:val="0"/>
                <w:sz w:val="12"/>
              </w:rPr>
              <w:t>УМК</w:t>
            </w:r>
          </w:p>
        </w:tc>
        <w:tc>
          <w:tcPr>
            <w:tcW w:type="dxa" w:w="1417"/>
            <w:vAlign w:val="center"/>
            <w:tcMar>
              <w:top w:w="80" w:type="dxa"/>
              <w:start w:w="80" w:type="dxa"/>
              <w:bottom w:w="80" w:type="dxa"/>
              <w:end w:w="80" w:type="dxa"/>
            </w:tcMar>
          </w:tcPr>
          <w:p>
            <w:pPr>
              <w:spacing w:after="0"/>
            </w:pPr>
            <w:r/>
            <w:r>
              <w:rPr>
                <w:rFonts w:ascii="Arial" w:hAnsi="Arial"/>
                <w:b w:val="0"/>
                <w:sz w:val="12"/>
              </w:rPr>
              <w:t>достаточен для выполнения заданий</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18</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Кадровые условия</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соответствуют профилю и методике</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19</w:t>
            </w:r>
          </w:p>
        </w:tc>
        <w:tc>
          <w:tcPr>
            <w:tcW w:type="dxa" w:w="1417"/>
            <w:vAlign w:val="center"/>
            <w:tcMar>
              <w:top w:w="80" w:type="dxa"/>
              <w:start w:w="80" w:type="dxa"/>
              <w:bottom w:w="80" w:type="dxa"/>
              <w:end w:w="80" w:type="dxa"/>
            </w:tcMar>
          </w:tcPr>
          <w:p>
            <w:pPr>
              <w:spacing w:after="0"/>
            </w:pPr>
            <w:r/>
            <w:r>
              <w:rPr>
                <w:rFonts w:ascii="Arial" w:hAnsi="Arial"/>
                <w:b w:val="0"/>
                <w:sz w:val="12"/>
              </w:rPr>
              <w:t>Материально-технические условия</w:t>
            </w:r>
          </w:p>
        </w:tc>
        <w:tc>
          <w:tcPr>
            <w:tcW w:type="dxa" w:w="1417"/>
            <w:vAlign w:val="center"/>
            <w:tcMar>
              <w:top w:w="80" w:type="dxa"/>
              <w:start w:w="80" w:type="dxa"/>
              <w:bottom w:w="80" w:type="dxa"/>
              <w:end w:w="80" w:type="dxa"/>
            </w:tcMar>
          </w:tcPr>
          <w:p>
            <w:pPr>
              <w:spacing w:after="0"/>
            </w:pPr>
            <w:r/>
            <w:r>
              <w:rPr>
                <w:rFonts w:ascii="Arial" w:hAnsi="Arial"/>
                <w:b w:val="0"/>
                <w:sz w:val="12"/>
              </w:rPr>
              <w:t>конкретны и достаточны</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20</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ЭО и ДОТ</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доступ, идентификация, фиксация и взаимодействие описаны</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21</w:t>
            </w:r>
          </w:p>
        </w:tc>
        <w:tc>
          <w:tcPr>
            <w:tcW w:type="dxa" w:w="1417"/>
            <w:vAlign w:val="center"/>
            <w:tcMar>
              <w:top w:w="80" w:type="dxa"/>
              <w:start w:w="80" w:type="dxa"/>
              <w:bottom w:w="80" w:type="dxa"/>
              <w:end w:w="80" w:type="dxa"/>
            </w:tcMar>
          </w:tcPr>
          <w:p>
            <w:pPr>
              <w:spacing w:after="0"/>
            </w:pPr>
            <w:r/>
            <w:r>
              <w:rPr>
                <w:rFonts w:ascii="Arial" w:hAnsi="Arial"/>
                <w:b w:val="0"/>
                <w:sz w:val="12"/>
              </w:rPr>
              <w:t>Доступность</w:t>
            </w:r>
          </w:p>
        </w:tc>
        <w:tc>
          <w:tcPr>
            <w:tcW w:type="dxa" w:w="1417"/>
            <w:vAlign w:val="center"/>
            <w:tcMar>
              <w:top w:w="80" w:type="dxa"/>
              <w:start w:w="80" w:type="dxa"/>
              <w:bottom w:w="80" w:type="dxa"/>
              <w:end w:w="80" w:type="dxa"/>
            </w:tcMar>
          </w:tcPr>
          <w:p>
            <w:pPr>
              <w:spacing w:after="0"/>
            </w:pPr>
            <w:r/>
            <w:r>
              <w:rPr>
                <w:rFonts w:ascii="Arial" w:hAnsi="Arial"/>
                <w:b w:val="0"/>
                <w:sz w:val="12"/>
              </w:rPr>
              <w:t>учтены специальные потребности и альтернативы</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22</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Персональные данные</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обработка соразмерна и урегулирована</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23</w:t>
            </w:r>
          </w:p>
        </w:tc>
        <w:tc>
          <w:tcPr>
            <w:tcW w:type="dxa" w:w="1417"/>
            <w:vAlign w:val="center"/>
            <w:tcMar>
              <w:top w:w="80" w:type="dxa"/>
              <w:start w:w="80" w:type="dxa"/>
              <w:bottom w:w="80" w:type="dxa"/>
              <w:end w:w="80" w:type="dxa"/>
            </w:tcMar>
          </w:tcPr>
          <w:p>
            <w:pPr>
              <w:spacing w:after="0"/>
            </w:pPr>
            <w:r/>
            <w:r>
              <w:rPr>
                <w:rFonts w:ascii="Arial" w:hAnsi="Arial"/>
                <w:b w:val="0"/>
                <w:sz w:val="12"/>
              </w:rPr>
              <w:t>Источники</w:t>
            </w:r>
          </w:p>
        </w:tc>
        <w:tc>
          <w:tcPr>
            <w:tcW w:type="dxa" w:w="1417"/>
            <w:vAlign w:val="center"/>
            <w:tcMar>
              <w:top w:w="80" w:type="dxa"/>
              <w:start w:w="80" w:type="dxa"/>
              <w:bottom w:w="80" w:type="dxa"/>
              <w:end w:w="80" w:type="dxa"/>
            </w:tcMar>
          </w:tcPr>
          <w:p>
            <w:pPr>
              <w:spacing w:after="0"/>
            </w:pPr>
            <w:r/>
            <w:r>
              <w:rPr>
                <w:rFonts w:ascii="Arial" w:hAnsi="Arial"/>
                <w:b w:val="0"/>
                <w:sz w:val="12"/>
              </w:rPr>
              <w:t>актуальны и релевантны</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24</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Терминология</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единообразна</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25</w:t>
            </w:r>
          </w:p>
        </w:tc>
        <w:tc>
          <w:tcPr>
            <w:tcW w:type="dxa" w:w="1417"/>
            <w:vAlign w:val="center"/>
            <w:tcMar>
              <w:top w:w="80" w:type="dxa"/>
              <w:start w:w="80" w:type="dxa"/>
              <w:bottom w:w="80" w:type="dxa"/>
              <w:end w:w="80" w:type="dxa"/>
            </w:tcMar>
          </w:tcPr>
          <w:p>
            <w:pPr>
              <w:spacing w:after="0"/>
            </w:pPr>
            <w:r/>
            <w:r>
              <w:rPr>
                <w:rFonts w:ascii="Arial" w:hAnsi="Arial"/>
                <w:b w:val="0"/>
                <w:sz w:val="12"/>
              </w:rPr>
              <w:t>Локальные процедуры</w:t>
            </w:r>
          </w:p>
        </w:tc>
        <w:tc>
          <w:tcPr>
            <w:tcW w:type="dxa" w:w="1417"/>
            <w:vAlign w:val="center"/>
            <w:tcMar>
              <w:top w:w="80" w:type="dxa"/>
              <w:start w:w="80" w:type="dxa"/>
              <w:bottom w:w="80" w:type="dxa"/>
              <w:end w:w="80" w:type="dxa"/>
            </w:tcMar>
          </w:tcPr>
          <w:p>
            <w:pPr>
              <w:spacing w:after="0"/>
            </w:pPr>
            <w:r/>
            <w:r>
              <w:rPr>
                <w:rFonts w:ascii="Arial" w:hAnsi="Arial"/>
                <w:b w:val="0"/>
                <w:sz w:val="12"/>
              </w:rPr>
              <w:t>реализуемы и не противоречат программе</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26</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Документ о квалификации</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указан корректно</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27</w:t>
            </w:r>
          </w:p>
        </w:tc>
        <w:tc>
          <w:tcPr>
            <w:tcW w:type="dxa" w:w="1417"/>
            <w:vAlign w:val="center"/>
            <w:tcMar>
              <w:top w:w="80" w:type="dxa"/>
              <w:start w:w="80" w:type="dxa"/>
              <w:bottom w:w="80" w:type="dxa"/>
              <w:end w:w="80" w:type="dxa"/>
            </w:tcMar>
          </w:tcPr>
          <w:p>
            <w:pPr>
              <w:spacing w:after="0"/>
            </w:pPr>
            <w:r/>
            <w:r>
              <w:rPr>
                <w:rFonts w:ascii="Arial" w:hAnsi="Arial"/>
                <w:b w:val="0"/>
                <w:sz w:val="12"/>
              </w:rPr>
              <w:t>Академическая добросовестность</w:t>
            </w:r>
          </w:p>
        </w:tc>
        <w:tc>
          <w:tcPr>
            <w:tcW w:type="dxa" w:w="1417"/>
            <w:vAlign w:val="center"/>
            <w:tcMar>
              <w:top w:w="80" w:type="dxa"/>
              <w:start w:w="80" w:type="dxa"/>
              <w:bottom w:w="80" w:type="dxa"/>
              <w:end w:w="80" w:type="dxa"/>
            </w:tcMar>
          </w:tcPr>
          <w:p>
            <w:pPr>
              <w:spacing w:after="0"/>
            </w:pPr>
            <w:r/>
            <w:r>
              <w:rPr>
                <w:rFonts w:ascii="Arial" w:hAnsi="Arial"/>
                <w:b w:val="0"/>
                <w:sz w:val="12"/>
              </w:rPr>
              <w:t>предусмотрены понятные требования</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28</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Обратная связь</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встроена в учебный процесс</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2"/>
              </w:rPr>
              <w:t>29</w:t>
            </w:r>
          </w:p>
        </w:tc>
        <w:tc>
          <w:tcPr>
            <w:tcW w:type="dxa" w:w="1417"/>
            <w:vAlign w:val="center"/>
            <w:tcMar>
              <w:top w:w="80" w:type="dxa"/>
              <w:start w:w="80" w:type="dxa"/>
              <w:bottom w:w="80" w:type="dxa"/>
              <w:end w:w="80" w:type="dxa"/>
            </w:tcMar>
          </w:tcPr>
          <w:p>
            <w:pPr>
              <w:spacing w:after="0"/>
            </w:pPr>
            <w:r/>
            <w:r>
              <w:rPr>
                <w:rFonts w:ascii="Arial" w:hAnsi="Arial"/>
                <w:b w:val="0"/>
                <w:sz w:val="12"/>
              </w:rPr>
              <w:t>Мониторинг качества</w:t>
            </w:r>
          </w:p>
        </w:tc>
        <w:tc>
          <w:tcPr>
            <w:tcW w:type="dxa" w:w="1417"/>
            <w:vAlign w:val="center"/>
            <w:tcMar>
              <w:top w:w="80" w:type="dxa"/>
              <w:start w:w="80" w:type="dxa"/>
              <w:bottom w:w="80" w:type="dxa"/>
              <w:end w:w="80" w:type="dxa"/>
            </w:tcMar>
          </w:tcPr>
          <w:p>
            <w:pPr>
              <w:spacing w:after="0"/>
            </w:pPr>
            <w:r/>
            <w:r>
              <w:rPr>
                <w:rFonts w:ascii="Arial" w:hAnsi="Arial"/>
                <w:b w:val="0"/>
                <w:sz w:val="12"/>
              </w:rPr>
              <w:t>определены показатели и источники данных</w:t>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c>
          <w:tcPr>
            <w:tcW w:type="dxa" w:w="1417"/>
            <w:vAlign w:val="center"/>
            <w:tcMar>
              <w:top w:w="80" w:type="dxa"/>
              <w:start w:w="80" w:type="dxa"/>
              <w:bottom w:w="80" w:type="dxa"/>
              <w:end w:w="80" w:type="dxa"/>
            </w:tcMar>
          </w:tcPr>
          <w:p>
            <w:pPr>
              <w:spacing w:after="0"/>
            </w:pPr>
            <w:r/>
            <w:r>
              <w:rPr>
                <w:rFonts w:ascii="Arial" w:hAnsi="Arial"/>
                <w:b w:val="0"/>
                <w:sz w:val="12"/>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2"/>
              </w:rPr>
              <w:t>30</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Актуализация</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t>установлены основания и порядок пересмотра</w:t>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c>
          <w:tcPr>
            <w:tcW w:type="dxa" w:w="1417"/>
            <w:vAlign w:val="center"/>
            <w:tcMar>
              <w:top w:w="80" w:type="dxa"/>
              <w:start w:w="80" w:type="dxa"/>
              <w:bottom w:w="80" w:type="dxa"/>
              <w:end w:w="80" w:type="dxa"/>
            </w:tcMar>
            <w:shd w:fill="F4F7F9"/>
          </w:tcPr>
          <w:p>
            <w:pPr>
              <w:spacing w:after="0"/>
            </w:pPr>
            <w:r/>
            <w:r>
              <w:rPr>
                <w:rFonts w:ascii="Arial" w:hAnsi="Arial"/>
                <w:b w:val="0"/>
                <w:sz w:val="12"/>
              </w:rPr>
            </w:r>
          </w:p>
        </w:tc>
      </w:tr>
    </w:tbl>
    <w:p>
      <w:pPr>
        <w:spacing w:after="0"/>
      </w:pPr>
    </w:p>
    <w:p>
      <w:r>
        <w:br w:type="page"/>
      </w:r>
    </w:p>
    <w:p>
      <w:pPr>
        <w:pStyle w:val="Heading2"/>
        <w:keepNext/>
      </w:pPr>
      <w:r>
        <w:t>Приложение 2. Реестр несоответствий</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417"/>
            <w:shd w:fill="1F4E79"/>
            <w:vAlign w:val="center"/>
            <w:tcMar>
              <w:top w:w="80" w:type="dxa"/>
              <w:start w:w="80" w:type="dxa"/>
              <w:bottom w:w="80" w:type="dxa"/>
              <w:end w:w="80" w:type="dxa"/>
            </w:tcMar>
          </w:tcPr>
          <w:p>
            <w:pPr>
              <w:spacing w:after="0"/>
            </w:pPr>
            <w:r/>
            <w:r>
              <w:rPr>
                <w:rFonts w:ascii="Arial" w:hAnsi="Arial"/>
                <w:b/>
                <w:color w:val="FFFFFF"/>
                <w:sz w:val="13"/>
              </w:rPr>
              <w:t>ID</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3"/>
              </w:rPr>
              <w:t>Критерий</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3"/>
              </w:rPr>
              <w:t>Факт и место</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3"/>
              </w:rPr>
              <w:t>Риск</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3"/>
              </w:rPr>
              <w:t>Приоритет</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3"/>
              </w:rPr>
              <w:t>Корректирующее действие</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3"/>
              </w:rPr>
              <w:t>Доказательство закрытия</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3"/>
              </w:rPr>
              <w:t>N-01</w:t>
            </w:r>
          </w:p>
        </w:tc>
        <w:tc>
          <w:tcPr>
            <w:tcW w:type="dxa" w:w="1417"/>
            <w:vAlign w:val="center"/>
            <w:tcMar>
              <w:top w:w="80" w:type="dxa"/>
              <w:start w:w="80" w:type="dxa"/>
              <w:bottom w:w="80" w:type="dxa"/>
              <w:end w:w="80" w:type="dxa"/>
            </w:tcMar>
          </w:tcPr>
          <w:p>
            <w:pPr>
              <w:spacing w:after="0"/>
            </w:pPr>
            <w:r/>
            <w:r>
              <w:rPr>
                <w:rFonts w:ascii="Arial" w:hAnsi="Arial"/>
                <w:b w:val="0"/>
                <w:sz w:val="13"/>
              </w:rPr>
              <w:t>Объем</w:t>
            </w:r>
          </w:p>
        </w:tc>
        <w:tc>
          <w:tcPr>
            <w:tcW w:type="dxa" w:w="1417"/>
            <w:vAlign w:val="center"/>
            <w:tcMar>
              <w:top w:w="80" w:type="dxa"/>
              <w:start w:w="80" w:type="dxa"/>
              <w:bottom w:w="80" w:type="dxa"/>
              <w:end w:w="80" w:type="dxa"/>
            </w:tcMar>
          </w:tcPr>
          <w:p>
            <w:pPr>
              <w:spacing w:after="0"/>
            </w:pPr>
            <w:r/>
            <w:r>
              <w:rPr>
                <w:rFonts w:ascii="Arial" w:hAnsi="Arial"/>
                <w:b w:val="0"/>
                <w:sz w:val="13"/>
              </w:rPr>
              <w:t>итог учебного плана — 252 ч., паспорт — 256 ч.</w:t>
            </w:r>
          </w:p>
        </w:tc>
        <w:tc>
          <w:tcPr>
            <w:tcW w:type="dxa" w:w="1417"/>
            <w:vAlign w:val="center"/>
            <w:tcMar>
              <w:top w:w="80" w:type="dxa"/>
              <w:start w:w="80" w:type="dxa"/>
              <w:bottom w:w="80" w:type="dxa"/>
              <w:end w:w="80" w:type="dxa"/>
            </w:tcMar>
          </w:tcPr>
          <w:p>
            <w:pPr>
              <w:spacing w:after="0"/>
            </w:pPr>
            <w:r/>
            <w:r>
              <w:rPr>
                <w:rFonts w:ascii="Arial" w:hAnsi="Arial"/>
                <w:b w:val="0"/>
                <w:sz w:val="13"/>
              </w:rPr>
              <w:t>невозможность подтвердить объем</w:t>
            </w:r>
          </w:p>
        </w:tc>
        <w:tc>
          <w:tcPr>
            <w:tcW w:type="dxa" w:w="1417"/>
            <w:vAlign w:val="center"/>
            <w:tcMar>
              <w:top w:w="80" w:type="dxa"/>
              <w:start w:w="80" w:type="dxa"/>
              <w:bottom w:w="80" w:type="dxa"/>
              <w:end w:w="80" w:type="dxa"/>
            </w:tcMar>
          </w:tcPr>
          <w:p>
            <w:pPr>
              <w:spacing w:after="0"/>
            </w:pPr>
            <w:r/>
            <w:r>
              <w:rPr>
                <w:rFonts w:ascii="Arial" w:hAnsi="Arial"/>
                <w:b w:val="0"/>
                <w:sz w:val="13"/>
              </w:rPr>
              <w:t>критический</w:t>
            </w:r>
          </w:p>
        </w:tc>
        <w:tc>
          <w:tcPr>
            <w:tcW w:type="dxa" w:w="1417"/>
            <w:vAlign w:val="center"/>
            <w:tcMar>
              <w:top w:w="80" w:type="dxa"/>
              <w:start w:w="80" w:type="dxa"/>
              <w:bottom w:w="80" w:type="dxa"/>
              <w:end w:w="80" w:type="dxa"/>
            </w:tcMar>
          </w:tcPr>
          <w:p>
            <w:pPr>
              <w:spacing w:after="0"/>
            </w:pPr>
            <w:r/>
            <w:r>
              <w:rPr>
                <w:rFonts w:ascii="Arial" w:hAnsi="Arial"/>
                <w:b w:val="0"/>
                <w:sz w:val="13"/>
              </w:rPr>
              <w:t>сверить и исправить распределение</w:t>
            </w:r>
          </w:p>
        </w:tc>
        <w:tc>
          <w:tcPr>
            <w:tcW w:type="dxa" w:w="1417"/>
            <w:vAlign w:val="center"/>
            <w:tcMar>
              <w:top w:w="80" w:type="dxa"/>
              <w:start w:w="80" w:type="dxa"/>
              <w:bottom w:w="80" w:type="dxa"/>
              <w:end w:w="80" w:type="dxa"/>
            </w:tcMar>
          </w:tcPr>
          <w:p>
            <w:pPr>
              <w:spacing w:after="0"/>
            </w:pPr>
            <w:r/>
            <w:r>
              <w:rPr>
                <w:rFonts w:ascii="Arial" w:hAnsi="Arial"/>
                <w:b w:val="0"/>
                <w:sz w:val="13"/>
              </w:rPr>
              <w:t>все итоги = 256</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3"/>
              </w:rPr>
              <w:t>N-02</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Квалификация</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в трех разделах разные наименования</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неопределенность результата</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критический</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утвердить единую формулировку и применить во всех разделах</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поиск не находит вариантов</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3"/>
              </w:rPr>
              <w:t>N-03</w:t>
            </w:r>
          </w:p>
        </w:tc>
        <w:tc>
          <w:tcPr>
            <w:tcW w:type="dxa" w:w="1417"/>
            <w:vAlign w:val="center"/>
            <w:tcMar>
              <w:top w:w="80" w:type="dxa"/>
              <w:start w:w="80" w:type="dxa"/>
              <w:bottom w:w="80" w:type="dxa"/>
              <w:end w:w="80" w:type="dxa"/>
            </w:tcMar>
          </w:tcPr>
          <w:p>
            <w:pPr>
              <w:spacing w:after="0"/>
            </w:pPr>
            <w:r/>
            <w:r>
              <w:rPr>
                <w:rFonts w:ascii="Arial" w:hAnsi="Arial"/>
                <w:b w:val="0"/>
                <w:sz w:val="13"/>
              </w:rPr>
              <w:t>Результаты</w:t>
            </w:r>
          </w:p>
        </w:tc>
        <w:tc>
          <w:tcPr>
            <w:tcW w:type="dxa" w:w="1417"/>
            <w:vAlign w:val="center"/>
            <w:tcMar>
              <w:top w:w="80" w:type="dxa"/>
              <w:start w:w="80" w:type="dxa"/>
              <w:bottom w:w="80" w:type="dxa"/>
              <w:end w:w="80" w:type="dxa"/>
            </w:tcMar>
          </w:tcPr>
          <w:p>
            <w:pPr>
              <w:spacing w:after="0"/>
            </w:pPr>
            <w:r/>
            <w:r>
              <w:rPr>
                <w:rFonts w:ascii="Arial" w:hAnsi="Arial"/>
                <w:b w:val="0"/>
                <w:sz w:val="13"/>
              </w:rPr>
              <w:t>часть результатов повторяет темы</w:t>
            </w:r>
          </w:p>
        </w:tc>
        <w:tc>
          <w:tcPr>
            <w:tcW w:type="dxa" w:w="1417"/>
            <w:vAlign w:val="center"/>
            <w:tcMar>
              <w:top w:w="80" w:type="dxa"/>
              <w:start w:w="80" w:type="dxa"/>
              <w:bottom w:w="80" w:type="dxa"/>
              <w:end w:w="80" w:type="dxa"/>
            </w:tcMar>
          </w:tcPr>
          <w:p>
            <w:pPr>
              <w:spacing w:after="0"/>
            </w:pPr>
            <w:r/>
            <w:r>
              <w:rPr>
                <w:rFonts w:ascii="Arial" w:hAnsi="Arial"/>
                <w:b w:val="0"/>
                <w:sz w:val="13"/>
              </w:rPr>
              <w:t>невозможность валидного контроля</w:t>
            </w:r>
          </w:p>
        </w:tc>
        <w:tc>
          <w:tcPr>
            <w:tcW w:type="dxa" w:w="1417"/>
            <w:vAlign w:val="center"/>
            <w:tcMar>
              <w:top w:w="80" w:type="dxa"/>
              <w:start w:w="80" w:type="dxa"/>
              <w:bottom w:w="80" w:type="dxa"/>
              <w:end w:w="80" w:type="dxa"/>
            </w:tcMar>
          </w:tcPr>
          <w:p>
            <w:pPr>
              <w:spacing w:after="0"/>
            </w:pPr>
            <w:r/>
            <w:r>
              <w:rPr>
                <w:rFonts w:ascii="Arial" w:hAnsi="Arial"/>
                <w:b w:val="0"/>
                <w:sz w:val="13"/>
              </w:rPr>
              <w:t>существенный</w:t>
            </w:r>
          </w:p>
        </w:tc>
        <w:tc>
          <w:tcPr>
            <w:tcW w:type="dxa" w:w="1417"/>
            <w:vAlign w:val="center"/>
            <w:tcMar>
              <w:top w:w="80" w:type="dxa"/>
              <w:start w:w="80" w:type="dxa"/>
              <w:bottom w:w="80" w:type="dxa"/>
              <w:end w:w="80" w:type="dxa"/>
            </w:tcMar>
          </w:tcPr>
          <w:p>
            <w:pPr>
              <w:spacing w:after="0"/>
            </w:pPr>
            <w:r/>
            <w:r>
              <w:rPr>
                <w:rFonts w:ascii="Arial" w:hAnsi="Arial"/>
                <w:b w:val="0"/>
                <w:sz w:val="13"/>
              </w:rPr>
              <w:t>переформулировать через действия и индикаторы</w:t>
            </w:r>
          </w:p>
        </w:tc>
        <w:tc>
          <w:tcPr>
            <w:tcW w:type="dxa" w:w="1417"/>
            <w:vAlign w:val="center"/>
            <w:tcMar>
              <w:top w:w="80" w:type="dxa"/>
              <w:start w:w="80" w:type="dxa"/>
              <w:bottom w:w="80" w:type="dxa"/>
              <w:end w:w="80" w:type="dxa"/>
            </w:tcMar>
          </w:tcPr>
          <w:p>
            <w:pPr>
              <w:spacing w:after="0"/>
            </w:pPr>
            <w:r/>
            <w:r>
              <w:rPr>
                <w:rFonts w:ascii="Arial" w:hAnsi="Arial"/>
                <w:b w:val="0"/>
                <w:sz w:val="13"/>
              </w:rPr>
              <w:t>матрица результатов</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3"/>
              </w:rPr>
              <w:t>N-04</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Итоговая аттестация</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только тест при проектном результате</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не проверяется готовность к деятельности</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критический</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добавить защиту продукта и рубрику</w:t>
            </w:r>
          </w:p>
        </w:tc>
        <w:tc>
          <w:tcPr>
            <w:tcW w:type="dxa" w:w="1417"/>
            <w:vAlign w:val="center"/>
            <w:tcMar>
              <w:top w:w="80" w:type="dxa"/>
              <w:start w:w="80" w:type="dxa"/>
              <w:bottom w:w="80" w:type="dxa"/>
              <w:end w:w="80" w:type="dxa"/>
            </w:tcMar>
            <w:shd w:fill="F4F7F9"/>
          </w:tcPr>
          <w:p>
            <w:pPr>
              <w:spacing w:after="0"/>
            </w:pPr>
            <w:r/>
            <w:r>
              <w:rPr>
                <w:rFonts w:ascii="Arial" w:hAnsi="Arial"/>
                <w:b w:val="0"/>
                <w:sz w:val="13"/>
              </w:rPr>
              <w:t>программа и ФОС</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3"/>
              </w:rPr>
              <w:t>N-05</w:t>
            </w:r>
          </w:p>
        </w:tc>
        <w:tc>
          <w:tcPr>
            <w:tcW w:type="dxa" w:w="1417"/>
            <w:vAlign w:val="center"/>
            <w:tcMar>
              <w:top w:w="80" w:type="dxa"/>
              <w:start w:w="80" w:type="dxa"/>
              <w:bottom w:w="80" w:type="dxa"/>
              <w:end w:w="80" w:type="dxa"/>
            </w:tcMar>
          </w:tcPr>
          <w:p>
            <w:pPr>
              <w:spacing w:after="0"/>
            </w:pPr>
            <w:r/>
            <w:r>
              <w:rPr>
                <w:rFonts w:ascii="Arial" w:hAnsi="Arial"/>
                <w:b w:val="0"/>
                <w:sz w:val="13"/>
              </w:rPr>
              <w:t>ЭО/ДОТ</w:t>
            </w:r>
          </w:p>
        </w:tc>
        <w:tc>
          <w:tcPr>
            <w:tcW w:type="dxa" w:w="1417"/>
            <w:vAlign w:val="center"/>
            <w:tcMar>
              <w:top w:w="80" w:type="dxa"/>
              <w:start w:w="80" w:type="dxa"/>
              <w:bottom w:w="80" w:type="dxa"/>
              <w:end w:w="80" w:type="dxa"/>
            </w:tcMar>
          </w:tcPr>
          <w:p>
            <w:pPr>
              <w:spacing w:after="0"/>
            </w:pPr>
            <w:r/>
            <w:r>
              <w:rPr>
                <w:rFonts w:ascii="Arial" w:hAnsi="Arial"/>
                <w:b w:val="0"/>
                <w:sz w:val="13"/>
              </w:rPr>
              <w:t>общая фраза без процедуры взаимодействия</w:t>
            </w:r>
          </w:p>
        </w:tc>
        <w:tc>
          <w:tcPr>
            <w:tcW w:type="dxa" w:w="1417"/>
            <w:vAlign w:val="center"/>
            <w:tcMar>
              <w:top w:w="80" w:type="dxa"/>
              <w:start w:w="80" w:type="dxa"/>
              <w:bottom w:w="80" w:type="dxa"/>
              <w:end w:w="80" w:type="dxa"/>
            </w:tcMar>
          </w:tcPr>
          <w:p>
            <w:pPr>
              <w:spacing w:after="0"/>
            </w:pPr>
            <w:r/>
            <w:r>
              <w:rPr>
                <w:rFonts w:ascii="Arial" w:hAnsi="Arial"/>
                <w:b w:val="0"/>
                <w:sz w:val="13"/>
              </w:rPr>
              <w:t>организационный риск</w:t>
            </w:r>
          </w:p>
        </w:tc>
        <w:tc>
          <w:tcPr>
            <w:tcW w:type="dxa" w:w="1417"/>
            <w:vAlign w:val="center"/>
            <w:tcMar>
              <w:top w:w="80" w:type="dxa"/>
              <w:start w:w="80" w:type="dxa"/>
              <w:bottom w:w="80" w:type="dxa"/>
              <w:end w:w="80" w:type="dxa"/>
            </w:tcMar>
          </w:tcPr>
          <w:p>
            <w:pPr>
              <w:spacing w:after="0"/>
            </w:pPr>
            <w:r/>
            <w:r>
              <w:rPr>
                <w:rFonts w:ascii="Arial" w:hAnsi="Arial"/>
                <w:b w:val="0"/>
                <w:sz w:val="13"/>
              </w:rPr>
              <w:t>существенный</w:t>
            </w:r>
          </w:p>
        </w:tc>
        <w:tc>
          <w:tcPr>
            <w:tcW w:type="dxa" w:w="1417"/>
            <w:vAlign w:val="center"/>
            <w:tcMar>
              <w:top w:w="80" w:type="dxa"/>
              <w:start w:w="80" w:type="dxa"/>
              <w:bottom w:w="80" w:type="dxa"/>
              <w:end w:w="80" w:type="dxa"/>
            </w:tcMar>
          </w:tcPr>
          <w:p>
            <w:pPr>
              <w:spacing w:after="0"/>
            </w:pPr>
            <w:r/>
            <w:r>
              <w:rPr>
                <w:rFonts w:ascii="Arial" w:hAnsi="Arial"/>
                <w:b w:val="0"/>
                <w:sz w:val="13"/>
              </w:rPr>
              <w:t>описать доступ, фиксацию, связь и сбои</w:t>
            </w:r>
          </w:p>
        </w:tc>
        <w:tc>
          <w:tcPr>
            <w:tcW w:type="dxa" w:w="1417"/>
            <w:vAlign w:val="center"/>
            <w:tcMar>
              <w:top w:w="80" w:type="dxa"/>
              <w:start w:w="80" w:type="dxa"/>
              <w:bottom w:w="80" w:type="dxa"/>
              <w:end w:w="80" w:type="dxa"/>
            </w:tcMar>
          </w:tcPr>
          <w:p>
            <w:pPr>
              <w:spacing w:after="0"/>
            </w:pPr>
            <w:r/>
            <w:r>
              <w:rPr>
                <w:rFonts w:ascii="Arial" w:hAnsi="Arial"/>
                <w:b w:val="0"/>
                <w:sz w:val="13"/>
              </w:rPr>
              <w:t>раздел условий</w:t>
            </w:r>
          </w:p>
        </w:tc>
      </w:tr>
    </w:tbl>
    <w:p>
      <w:pPr>
        <w:spacing w:after="0"/>
      </w:pPr>
    </w:p>
    <w:p>
      <w:pPr>
        <w:pStyle w:val="Heading2"/>
        <w:keepNext/>
      </w:pPr>
      <w:r>
        <w:t>Приложение 3. Шаблон экспертного заключения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Раздел заключения</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Объект и версия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Основание и рамка экспертизы</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Использованные критерии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Ключевые сильные стороны</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Критические несоответствия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Существенные замечания</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Редакционные замечания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Итоговый статус</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готова / условно готова / не готова</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Условия повторной проверки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Эксперт и дата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pStyle w:val="Heading2"/>
        <w:keepNext/>
      </w:pPr>
      <w:r>
        <w:t>Приложение 4. План корректирующих действий</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ID</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Действие</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Ответственная роль</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Срок</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Ресурс/согласование</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Критерий приемки</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4"/>
              </w:rPr>
              <w:t>Статус</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c>
          <w:tcPr>
            <w:tcW w:type="dxa" w:w="1417"/>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c>
          <w:tcPr>
            <w:tcW w:type="dxa" w:w="1417"/>
            <w:vAlign w:val="center"/>
            <w:tcMar>
              <w:top w:w="80" w:type="dxa"/>
              <w:start w:w="80" w:type="dxa"/>
              <w:bottom w:w="80" w:type="dxa"/>
              <w:end w:w="80" w:type="dxa"/>
            </w:tcMar>
            <w:shd w:fill="F4F7F9"/>
          </w:tcPr>
          <w:p>
            <w:pPr>
              <w:spacing w:after="0"/>
            </w:pPr>
            <w:r/>
            <w:r>
              <w:rPr>
                <w:rFonts w:ascii="Arial" w:hAnsi="Arial"/>
                <w:b w:val="0"/>
                <w:sz w:val="14"/>
              </w:rPr>
            </w:r>
          </w:p>
        </w:tc>
      </w:tr>
    </w:tbl>
    <w:p>
      <w:pPr>
        <w:spacing w:after="0"/>
      </w:pPr>
    </w:p>
    <w:p>
      <w:pPr>
        <w:pStyle w:val="Heading2"/>
        <w:keepNext/>
      </w:pPr>
      <w:r>
        <w:t>Приложение 5. Шкала итогового статуса</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Статус</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Условие</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Допустимое действие</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Готова к утверждению</w:t>
            </w:r>
          </w:p>
        </w:tc>
        <w:tc>
          <w:tcPr>
            <w:tcW w:type="dxa" w:w="3307"/>
            <w:vAlign w:val="center"/>
            <w:tcMar>
              <w:top w:w="80" w:type="dxa"/>
              <w:start w:w="80" w:type="dxa"/>
              <w:bottom w:w="80" w:type="dxa"/>
              <w:end w:w="80" w:type="dxa"/>
            </w:tcMar>
          </w:tcPr>
          <w:p>
            <w:pPr>
              <w:spacing w:after="0"/>
            </w:pPr>
            <w:r/>
            <w:r>
              <w:rPr>
                <w:rFonts w:ascii="Arial" w:hAnsi="Arial"/>
                <w:b w:val="0"/>
                <w:sz w:val="16"/>
              </w:rPr>
              <w:t>критические и существенные несоответствия отсутствуют; редакционные не меняют модель</w:t>
            </w:r>
          </w:p>
        </w:tc>
        <w:tc>
          <w:tcPr>
            <w:tcW w:type="dxa" w:w="3307"/>
            <w:vAlign w:val="center"/>
            <w:tcMar>
              <w:top w:w="80" w:type="dxa"/>
              <w:start w:w="80" w:type="dxa"/>
              <w:bottom w:w="80" w:type="dxa"/>
              <w:end w:w="80" w:type="dxa"/>
            </w:tcMar>
          </w:tcPr>
          <w:p>
            <w:pPr>
              <w:spacing w:after="0"/>
            </w:pPr>
            <w:r/>
            <w:r>
              <w:rPr>
                <w:rFonts w:ascii="Arial" w:hAnsi="Arial"/>
                <w:b w:val="0"/>
                <w:sz w:val="16"/>
              </w:rPr>
              <w:t>передать на утверждение</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Условно готова</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критических нет; существенные имеют конкретный план и могут быть устранены до запуска</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устранить и провести целевую повторную проверку</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Не готова</w:t>
            </w:r>
          </w:p>
        </w:tc>
        <w:tc>
          <w:tcPr>
            <w:tcW w:type="dxa" w:w="3307"/>
            <w:vAlign w:val="center"/>
            <w:tcMar>
              <w:top w:w="80" w:type="dxa"/>
              <w:start w:w="80" w:type="dxa"/>
              <w:bottom w:w="80" w:type="dxa"/>
              <w:end w:w="80" w:type="dxa"/>
            </w:tcMar>
          </w:tcPr>
          <w:p>
            <w:pPr>
              <w:spacing w:after="0"/>
            </w:pPr>
            <w:r/>
            <w:r>
              <w:rPr>
                <w:rFonts w:ascii="Arial" w:hAnsi="Arial"/>
                <w:b w:val="0"/>
                <w:sz w:val="16"/>
              </w:rPr>
              <w:t>есть хотя бы одно незакрытое критическое несоответствие</w:t>
            </w:r>
          </w:p>
        </w:tc>
        <w:tc>
          <w:tcPr>
            <w:tcW w:type="dxa" w:w="3307"/>
            <w:vAlign w:val="center"/>
            <w:tcMar>
              <w:top w:w="80" w:type="dxa"/>
              <w:start w:w="80" w:type="dxa"/>
              <w:bottom w:w="80" w:type="dxa"/>
              <w:end w:w="80" w:type="dxa"/>
            </w:tcMar>
          </w:tcPr>
          <w:p>
            <w:pPr>
              <w:spacing w:after="0"/>
            </w:pPr>
            <w:r/>
            <w:r>
              <w:rPr>
                <w:rFonts w:ascii="Arial" w:hAnsi="Arial"/>
                <w:b w:val="0"/>
                <w:sz w:val="16"/>
              </w:rPr>
              <w:t>вернуть разработчикам и провести повторную комплексную экспертизу</w:t>
            </w:r>
          </w:p>
        </w:tc>
      </w:tr>
    </w:tbl>
    <w:p>
      <w:pPr>
        <w:spacing w:after="0"/>
      </w:pP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08. Экспертиза ДПП по чек-листу</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