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ОБЩЕСТВО С ОГРАНИЧЕННОЙ ОТВЕТСТВЕННОСТЬЮ</w:t>
        <w:br/>
        <w:t>«ЭКСПАЛЬЯНС»</w:t>
      </w:r>
    </w:p>
    <w:p>
      <w:pPr>
        <w:spacing w:before="4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Программа профессиональной переподготовки «Преподаватель дополнительного профессионального образования» (520 часов)</w:t>
      </w:r>
    </w:p>
    <w:p>
      <w:pPr>
        <w:spacing w:before="5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Модуль 8. Контроль, аттестация и мониторинг качества ДПО</w:t>
      </w:r>
    </w:p>
    <w:p>
      <w:pPr>
        <w:spacing w:before="7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ПРАКТИЧЕСКАЯ РАБОТА № 03</w:t>
      </w:r>
    </w:p>
    <w:p>
      <w:pPr>
        <w:spacing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«Подготовка процедуры защиты итоговой аттестационной работы»</w:t>
      </w:r>
    </w:p>
    <w:p>
      <w:pPr>
        <w:spacing w:before="4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Трудоемкость: 2 академических часа</w:t>
        <w:br/>
        <w:t>Проверяемые компетенции: ПК-2, ПК-7, ПК-10</w:t>
      </w:r>
    </w:p>
    <w:p/>
    <w:p/>
    <w:p/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Камбарка</w:t>
        <w:br/>
        <w:t>2026</w:t>
      </w:r>
    </w:p>
    <w:p>
      <w:r>
        <w:br w:type="page"/>
      </w:r>
    </w:p>
    <w:p>
      <w:pPr>
        <w:pStyle w:val="Heading1"/>
      </w:pPr>
      <w:r>
        <w:t>2. Наименование практической работы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Подготовка процедуры защиты итоговой аттестационной работы</w:t>
      </w:r>
    </w:p>
    <w:p>
      <w:pPr>
        <w:pStyle w:val="Heading1"/>
      </w:pPr>
      <w:r>
        <w:t>3. Аннотация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Практическая работа направлена на проектирование целостной, прозрачной и устойчивой процедуры защиты итоговой аттестационной работы по программе профессиональной переподготовки. Слушатель разрабатывает процессную карту, распределение ролей, сценарий защиты, критерии оценивания, формы фиксации решения, инструкции участникам и алгоритмы действий при технических и организационных отклонениях. Итоговый комплект является методическим прототипом, который может быть адаптирован и утвержден образовательной организацией.</w:t>
      </w:r>
    </w:p>
    <w:p>
      <w:pPr>
        <w:pStyle w:val="Heading1"/>
      </w:pPr>
      <w:r>
        <w:t>4. Цель практической работы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Научиться проектировать процедуру итоговой защиты, обеспечивающую единые условия, проверку профессиональных компетенций, доказуемость решений комиссии и доступность участия в очном, дистанционном или смешанном формате.</w:t>
      </w:r>
    </w:p>
    <w:p>
      <w:pPr>
        <w:pStyle w:val="Heading1"/>
      </w:pPr>
      <w:r>
        <w:t>5. Проверяемые компетенции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Компетенция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Проявление компетенции в практической работе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Индикаторы достижения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ПК-2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Проектирование контроля и учебно-оценочной деятельности в логике результатов обучения взрослых.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Выбирает адекватные доказательства достижения результата; согласует задание, критерии и форму контроля.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ПК-7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Разработка и применение оценочных средств, обеспечивающих валидность, прозрачность и воспроизводимость оценивания.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Формулирует измеримые критерии; разрабатывает шкалы, спецификации, рубрики и правила интерпретации результатов.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ПК-10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Проектирование организационно-методической процедуры, фиксация результатов и управление рисками качества итоговой аттестации.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Использует данные для принятия решений; выявляет риски качества; предлагает реализуемые корректирующие действия.</w:t>
            </w:r>
          </w:p>
        </w:tc>
      </w:tr>
    </w:tbl>
    <w:p>
      <w:pPr>
        <w:spacing w:after="0"/>
      </w:pPr>
    </w:p>
    <w:p>
      <w:pPr>
        <w:pStyle w:val="Heading1"/>
      </w:pPr>
      <w:r>
        <w:t>6. Планируемые результаты выполнения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выстраивать процедуру защиты от допуска до фиксации и хранения результата;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разграничивать функции комиссии, председательствующего, секретаря, технического специалиста и слушателя;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создавать единый сценарий и регламент времени;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разрабатывать рубрику защиты, связанную с профессиональными компетенциями;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предусматривать равные условия, специальные условия и альтернативные каналы связи;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описывать доказательства принятого решения и порядок работы с расхождениями;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управлять техническими, организационными и этическими рисками дистанционной защиты.</w:t>
      </w:r>
    </w:p>
    <w:p>
      <w:pPr>
        <w:pStyle w:val="Heading1"/>
      </w:pPr>
      <w:r>
        <w:t>7. Формат выполнения и порядок сдачи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Работа выполняется индивидуально в асинхронном дистанционном формате. Расчетная трудоемкость — 2 академических часа, включая анализ исходных данных, проектирование продукта, самопроверку и оформление.</w:t>
      </w:r>
    </w:p>
    <w:p>
      <w:r>
        <w:rPr>
          <w:rFonts w:ascii="Times New Roman" w:hAnsi="Times New Roman" w:eastAsia="Times New Roman"/>
          <w:b/>
          <w:i w:val="0"/>
          <w:sz w:val="24"/>
        </w:rPr>
        <w:t>Ожидаемые артефакты:</w:t>
      </w: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процессная карта защиты;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календарный план и распределение ролей;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сценарий одного заседания;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рубрика на 100 баллов;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памятка слушателю и технический чек-лист;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шаблон листа комиссии и фрагмента протокола;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таблица рисков и алгоритмов реагирования.</w:t>
      </w:r>
    </w:p>
    <w:p>
      <w:r>
        <w:rPr>
          <w:rFonts w:ascii="Times New Roman" w:hAnsi="Times New Roman" w:eastAsia="Times New Roman"/>
          <w:b/>
          <w:i w:val="0"/>
          <w:sz w:val="24"/>
        </w:rPr>
        <w:t>Порядок сдачи:</w:t>
      </w: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Изучить кейс, исходные данные и требования к продукту.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Заполнить обязательные таблицы и разработать документы по шаблонам приложений.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Провести самопроверку по чек-листу и устранить несогласованности.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Загрузить единый DOCX-файл в соответствующий элемент LMS до установленного срока.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При защите кратко обосновать ключевые решения, показать связь продукта с компетенциями и ответить на вопросы преподавателя.</w:t>
      </w:r>
    </w:p>
    <w:p>
      <w:pPr>
        <w:pStyle w:val="Heading1"/>
      </w:pPr>
      <w:r>
        <w:t>8. Описание практической ситуации, кейса или проектной задачи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ООО «Экспальянс» готовит дистанционную защиту итоговых аттестационных работ по программе профессиональной переподготовки. В группе 24 слушателя из разных регионов. Защиты планируются в два дня. Требуется обеспечить единый порядок допуска, идентификации, представления проекта, вопросов, независимого выставления баллов, согласования решения и документирования результата.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Ранее возникали проблемы: слушатели получали разные инструкции, техническое время уменьшало время выступления, критерии сообщались в день защиты, а при расхождении экспертов не фиксировались основания итогового балла. Новый комплект должен устранить эти риски, не выдумывая универсальных обязательных реквизитов, которые должны определяться локальными актами.</w:t>
      </w:r>
    </w:p>
    <w:p>
      <w:pPr>
        <w:pStyle w:val="Heading1"/>
      </w:pPr>
      <w:r>
        <w:t>9. Исходные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Параметр</w:t>
            </w:r>
          </w:p>
        </w:tc>
        <w:tc>
          <w:tcPr>
            <w:tcW w:type="dxa" w:w="63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Рабочее условие кейса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Количество слушателей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24 человека, две сессии по 12 защит.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Формат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Видеоконференция с резервным каналом аудиосвязи; материалы предварительно загружены в LMS.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Срок представления работы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 позднее чем за 5 календарных дней до защиты — модель для проектирования, уточняется локальным актом.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Продолжительность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 минут: до 7 минут выступление, до 5 минут вопросы, до 3 минут фиксация / переход. Техническая задержка не вычитается из содержательного времени.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Состав участников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Председательствующий, члены комиссии, секретарь, технический специалист, слушатель. Конкретный состав утверждается организацией.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Оценивание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Независимое заполнение листов комиссии, затем согласование итогового решения; максимум 100 баллов.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Доступность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Специальные условия планируются по обоснованной потребности и не снижают требования к результату.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Запись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Допустима только при наличии правового и локального основания, информировании участников и установленного порядка хранения.</w:t>
            </w:r>
          </w:p>
        </w:tc>
      </w:tr>
    </w:tbl>
    <w:p>
      <w:pPr>
        <w:spacing w:after="0"/>
      </w:pPr>
    </w:p>
    <w:p>
      <w:pPr>
        <w:pStyle w:val="Heading2"/>
      </w:pPr>
      <w:r>
        <w:t>Нормативно-методическая опора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Федеральный закон от 29.12.2012 № 273-ФЗ «Об образовании в Российской Федерации», прежде всего статьи 28 и 76 (в действующей редакции).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 (действует с 01.09.2025).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Утвержденная дополнительная профессиональная программа, фонд оценочных средств и локальные нормативные акты образовательной организации, регулирующие текущий контроль, промежуточную и итоговую аттестацию, порядок хранения результатов и рассмотрения спорных ситуаций.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Формы контроля, состав документов, пороговые значения, порядок работы комиссии и сроки устанавливаются образовательной организацией в пределах законодательства и утвержденной программы. Представленные в работе шаблоны являются методически обоснованной моделью и не подменяют локальные нормативные акты.</w:t>
      </w:r>
    </w:p>
    <w:p>
      <w:pPr>
        <w:pStyle w:val="Heading1"/>
      </w:pPr>
      <w:r>
        <w:t>10. Задание слушателю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Подготовьте методический комплект процедуры дистанционной защиты итоговой аттестационной работы. Документы должны быть согласованы между собой, задавать единые условия и позволять восстановить логику принятого решения по материалам комиссии.</w:t>
      </w:r>
    </w:p>
    <w:p>
      <w:pPr>
        <w:pStyle w:val="Heading1"/>
      </w:pPr>
      <w:r>
        <w:t>11. Подзадания или этапы выполнения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Определите входы и выходы процесса: документы допуска, представляемые материалы, оценочные листы, решение и записи хранения.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Постройте процессную карту с этапами до защиты, в день защиты и после нее.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Распределите ответственность между ролями по модели RACI или иной понятной матрице.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Разработайте сценарий заседания с репликами председательствующего, переходами, таймингом и правилами вопросов.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Создайте рубрику на 100 баллов, проверяющую профессиональную обоснованность, качество продукта, доказательность, реализуемость и защиту позиции.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Опишите порядок независимого выставления баллов и согласования расхождений без механического усреднения спорных оценок.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Подготовьте памятку слушателю, технический чек-лист и процедуру запроса специальных условий.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Составьте таблицу не менее чем из шести рисков: потеря связи, невозможность демонстрации, сомнение в идентификации, конфликт интересов, опоздание, нарушение конфиденциальности и др.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Определите состав доказательств процедуры и сроки передачи материалов на хранение в соответствии с локальными актами.</w:t>
      </w:r>
    </w:p>
    <w:p>
      <w:pPr>
        <w:pStyle w:val="Heading1"/>
      </w:pPr>
      <w:r>
        <w:t>12. Требования к оформлению результата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итог представляется одним файлом DOCX; допускается приложение расчетной таблицы, если это прямо предусмотрено заданием;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объем основного аналитического или проектного текста — ориентировочно 6–12 страниц без учета титульного листа и приложений;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шрифт Times New Roman, 12–14 пт; межстрочный интервал 1,15–1,5; поля не менее 20 мм; таблицы должны иметь заголовки;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все решения должны быть связаны с планируемыми результатами обучения, доказательствами их достижения и спецификой взрослых слушателей ДПО;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использованные нормативные и методические источники указываются в конце работы; реквизиты источников проверяются на дату выполнения;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 примерах нельзя включать реальные персональные данные слушателей, преподавателей или заказчиков; используются обезличенные сведения.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процесс должен охватывать период до, во время и после защиты;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роли не должны дублироваться без пояснения; ответственный за каждое ключевое действие должен быть определен;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критерии сообщаются слушателям до защиты и не меняются после начала процедуры;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технические сбои отделяются от качества профессионального результата;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специальные условия обеспечивают доступ к процедуре, но не подменяют проверяемую компетенцию;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шаблон протокола содержит только рекомендуемые поля и должен быть согласован с действующей номенклатурой и локальными актами.</w:t>
      </w:r>
    </w:p>
    <w:p>
      <w:pPr>
        <w:pStyle w:val="Heading1"/>
      </w:pPr>
      <w:r>
        <w:t>13. Критерии оценивания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45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Критерий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Макс. балл</w:t>
            </w:r>
          </w:p>
        </w:tc>
        <w:tc>
          <w:tcPr>
            <w:tcW w:type="dxa" w:w="317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Признаки полного выполнения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Полнота процессной модели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Охвачены все этапы, входы, выходы, сроки и доказательства процедуры.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Роли и управляемость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Ответственность распределена; предусмотрены замещения и разрешение расхождений.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Прозрачность и равенство условий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Инструкции едины; критерии известны заранее; специальные условия и конфликт интересов учтены.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Качество рубрики защиты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Критерии связаны с компетенциями, дескрипторы различимы, баллы и критические дефекты прозрачны.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Сценарий и тайминг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Сценарий реалистичен, управляет временем и сохраняет содержательное время при технической задержке.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Устойчивость дистанционного формата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Есть резервные каналы и алгоритмы для ключевых технических и организационных рисков.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Документирование и применимость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Формы согласованы, позволяют обосновать решение и пригодны для адаптации локальными актами.</w:t>
            </w:r>
          </w:p>
        </w:tc>
      </w:tr>
    </w:tbl>
    <w:p>
      <w:pPr>
        <w:spacing w:after="0"/>
      </w:pPr>
    </w:p>
    <w:p>
      <w:pPr>
        <w:pStyle w:val="Heading1"/>
      </w:pPr>
      <w:r>
        <w:t>14. Шкала оценивания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Баллы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Уровень</w:t>
            </w:r>
          </w:p>
        </w:tc>
        <w:tc>
          <w:tcPr>
            <w:tcW w:type="dxa" w:w="56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90–100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Высокий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Зачтено. Продукт готов к практическому применению после организационно-технического утверждения.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75–89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Достаточный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Зачтено. Имеются отдельные недочеты, не препятствующие использованию продукта.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60–74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Пороговый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 условно. Требуется адресная доработка по замечаниям преподавателя.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0–59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Недостаточный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 зачтено. Работа подлежит повторному выполнению.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  <w:sz w:val="24"/>
        </w:rPr>
        <w:t>Критическое ограничение: нет рубрики или она не связана с компетенциями; отсутствует фиксация решения; разные слушатели получают заведомо неравные условия; не предусмотрены действия при потере связи. При наличии критического дефекта итоговая оценка не может превышать 59 баллов до устранения нарушения.</w:t>
      </w:r>
    </w:p>
    <w:p>
      <w:pPr>
        <w:pStyle w:val="Heading1"/>
      </w:pPr>
      <w:r>
        <w:t>15. Типовые ошибки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процедура начинается непосредственно с выступления и не описывает допуск и проверку материалов;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состав комиссии или обязательные реквизиты объявляются универсальной нормой без основания;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члены комиссии выставляют общий балл до независимого оценивания;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техническое качество связи включается в профессиональные критерии;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вопросы не ограничены предметом работы и превращаются в повторный экзамен по всей программе;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нет резервного канала и правил переноса при подтвержденном сбое;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специальные условия трактуются как снижение требований;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протокол содержит итог, но не позволяет восстановить основания решения.</w:t>
      </w:r>
    </w:p>
    <w:p>
      <w:pPr>
        <w:pStyle w:val="Heading1"/>
      </w:pPr>
      <w:r>
        <w:t>16. Методические рекомендации слушателю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Проектируйте процедуру от доказательств: что должно остаться после защиты, чтобы подтвердить соблюдение условий и логику решения.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Разведите три времени: выступление, вопросы и технические операции. Не компенсируйте организационные задержки за счет слушателя.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 рубрике различайте качество письменного продукта и способность обосновать решения в ходе защиты.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При расхождении экспертов сопоставляйте доказательства по критериям; среднее значение допустимо только как заранее установленный расчет, а не замена обсуждения противоречий.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Формулируйте план B для каждого критического цифрового элемента: платформа, звук, демонстрация, идентификация, передача файла.</w:t>
      </w:r>
    </w:p>
    <w:p>
      <w:pPr>
        <w:pStyle w:val="Heading1"/>
      </w:pPr>
      <w:r>
        <w:t>17. Чек-лист самопроверки перед сдачей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56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№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Контрольный вопрос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Да/Нет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Описан допуск к защите и состав входных материалов?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 каждого действия есть ответственный и срок?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Критерии связаны с профессиональными компетенциями?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Слушатель получает критерии и инструкцию заранее?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5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Члены комиссии сначала оценивают независимо?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Порядок действий при расхождении формализован?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Техническая задержка не уменьшает содержательное время?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Есть резервный канал и критерии переноса?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9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Предусмотрены специальные условия и конфликт интересов?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Документы позволяют восстановить основания решения?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18. Приложения и шаблоны</w:t>
      </w:r>
    </w:p>
    <w:p>
      <w:pPr>
        <w:pStyle w:val="Heading2"/>
      </w:pPr>
      <w:r>
        <w:t>Приложение 1. Процессная карта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  <w:cantSplit/>
        </w:trPr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Этап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Действие</w:t>
            </w:r>
          </w:p>
        </w:tc>
        <w:tc>
          <w:tcPr>
            <w:tcW w:type="dxa" w:w="153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Ответственный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Срок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Доказательство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Риск / контроль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2. Матрица ролей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Действие</w:t>
            </w:r>
          </w:p>
        </w:tc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Председатель</w:t>
            </w:r>
          </w:p>
        </w:tc>
        <w:tc>
          <w:tcPr>
            <w:tcW w:type="dxa" w:w="153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Член комиссии</w:t>
            </w:r>
          </w:p>
        </w:tc>
        <w:tc>
          <w:tcPr>
            <w:tcW w:type="dxa" w:w="13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Секретарь</w:t>
            </w:r>
          </w:p>
        </w:tc>
        <w:tc>
          <w:tcPr>
            <w:tcW w:type="dxa" w:w="158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Техспециалист</w:t>
            </w:r>
          </w:p>
        </w:tc>
        <w:tc>
          <w:tcPr>
            <w:tcW w:type="dxa" w:w="13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Слушатель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Проверка допуска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Проверка связи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R/A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Ведение заседания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R/A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Оценивание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Фиксация решения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A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C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R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I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Обозначения: R — выполняет; A — несет итоговую ответственность; C — консультирует; I — информируется.</w:t>
      </w:r>
    </w:p>
    <w:p>
      <w:pPr>
        <w:pStyle w:val="Heading2"/>
      </w:pPr>
      <w:r>
        <w:t>Приложение 3. Сценарий защиты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Время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Действие</w:t>
            </w:r>
          </w:p>
        </w:tc>
        <w:tc>
          <w:tcPr>
            <w:tcW w:type="dxa" w:w="413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Реплика / инструкция</w:t>
            </w:r>
          </w:p>
        </w:tc>
        <w:tc>
          <w:tcPr>
            <w:tcW w:type="dxa" w:w="19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Фиксация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0:00–0:30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Открытие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Председатель объявляет слушателя, тему и правила времени.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Отметка присутствия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0:30–7:30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Выступление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Слушатель раскрывает проблему, решение, продукт, доказательства и вывод.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Оценочные заметки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7:30–12:30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Вопросы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Вопросы относятся к работе, решениям и проверяемым компетенциям.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Краткая фиксация вопросов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12:30–14:30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Независимая оценка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Члены комиссии завершают листы до обсуждения.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Баллы и доказательства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14:30–15:00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Переход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Секретарь проверяет полноту документов; итог сообщается по установленному порядку.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Статус комплекта</w:t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4. Рубрика защиты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Критерий</w:t>
            </w:r>
          </w:p>
        </w:tc>
        <w:tc>
          <w:tcPr>
            <w:tcW w:type="dxa" w:w="68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Вес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Высокий уровень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Пороговый уровень</w:t>
            </w:r>
          </w:p>
        </w:tc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Критический дефект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Профессиональная значимость проблемы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Проблема конкретна, подтверждена и связана с профессиональной практикой.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Проблема обозначена, связь с практикой частично раскрыта.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Предмет работы не относится к программе.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Методическая / проектная обоснованность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25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Решения логичны, основаны на данных и согласованы с целью.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Основная логика есть, но отдельные решения не обоснованы.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Цель и решения противоречат друг другу.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Качество итогового продукта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25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Продукт завершен, применим и содержит необходимые компоненты.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Продукт применим после ограниченной доработки.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Обязательный продукт отсутствует.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Доказательства результата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Выводы подтверждены данными, апробацией или проверяемыми аргументами.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Доказательства частичны, но позволяют принять базовые выводы.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Выводы не имеют подтверждения.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Ответы и профессиональная рефлексия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20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Ответы точны; ограничения признаны; улучшения реалистичны.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На основные вопросы даны приемлемые ответы.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Слушатель не способен объяснить ключевые решения.</w:t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5. Лист комиссии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Критерий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Макс.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Балл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Доказательство / комментарий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6. Реестр рисков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rPr>
          <w:tblHeader w:val="true"/>
          <w:cantSplit/>
        </w:trPr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Риск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Признак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Первичное действие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Условие продолжения / переноса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Фиксация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Потеря связи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Нет аудио/видео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Переподключение и резервный канал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Продолжение после восстановления; перенос при устойчивом сбое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Журнал инцидента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 открывается презентация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Ошибка демонстрации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Комиссия открывает заранее загруженный файл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Продолжение без снижения балла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Отметка секретаря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Сомнение в идентификации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Несоответствие данных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Приостановить и применить утвержденную проверку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Только после подтверждения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Акт / отметка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Конфликт интересов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Личная заинтересованность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Отвод участника по локальному порядку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После восстановления правомочности состава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Решение комиссии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Опоздание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Нет участника к слоту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Связаться по установленным каналам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Действовать по заранее опубликованному порядку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Журнал связи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Разглашение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Посторонние данные на экране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Остановить демонстрацию и исключить данные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После устранения риска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Инцидент ПДн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34" w:right="102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