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ОБЩЕСТВО С ОГРАНИЧЕННОЙ ОТВЕТСТВЕННОСТЬЮ</w:t>
        <w:br/>
        <w:t>«ЭКСПАЛЬЯНС»</w:t>
      </w:r>
    </w:p>
    <w:p>
      <w:pPr>
        <w:spacing w:before="40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Программа профессиональной переподготовки «Преподаватель дополнительного профессионального образования» (520 часов)</w:t>
      </w:r>
    </w:p>
    <w:p>
      <w:pPr>
        <w:spacing w:before="56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Модуль 8. Контроль, аттестация и мониторинг качества ДПО</w:t>
      </w:r>
    </w:p>
    <w:p>
      <w:pPr>
        <w:spacing w:before="70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ПРАКТИЧЕСКАЯ РАБОТА № 02</w:t>
      </w:r>
    </w:p>
    <w:p>
      <w:pPr>
        <w:spacing w:before="24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«Составление спецификации теста и матрицы оценочных средств»</w:t>
      </w:r>
    </w:p>
    <w:p>
      <w:pPr>
        <w:spacing w:before="48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Трудоемкость: 4 академических часа</w:t>
        <w:br/>
        <w:t>Проверяемые компетенции: ПК-2, ПК-7, ПК-10</w:t>
      </w:r>
    </w:p>
    <w:p/>
    <w:p/>
    <w:p/>
    <w:p/>
    <w:p/>
    <w:p/>
    <w:p>
      <w:pPr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Камбарка</w:t>
        <w:br/>
        <w:t>2026</w:t>
      </w:r>
    </w:p>
    <w:p>
      <w:r>
        <w:br w:type="page"/>
      </w:r>
    </w:p>
    <w:p>
      <w:pPr>
        <w:pStyle w:val="Heading1"/>
      </w:pPr>
      <w:r>
        <w:t>2. Наименование практической работы</w:t>
      </w:r>
    </w:p>
    <w:p>
      <w:pPr>
        <w:ind w:firstLine="0"/>
      </w:pPr>
      <w:r>
        <w:rPr>
          <w:rFonts w:ascii="Times New Roman" w:hAnsi="Times New Roman" w:eastAsia="Times New Roman"/>
          <w:b w:val="0"/>
          <w:i w:val="0"/>
          <w:sz w:val="24"/>
        </w:rPr>
        <w:t>Составление спецификации теста и матрицы оценочных средств</w:t>
      </w:r>
    </w:p>
    <w:p>
      <w:pPr>
        <w:pStyle w:val="Heading1"/>
      </w:pPr>
      <w:r>
        <w:t>3. Аннотация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Практическая работа моделирует разработку тестового оценочного средства для промежуточной аттестации по модулю ДПО. Слушатель составляет паспорт и содержательную спецификацию теста, распределяет задания по темам и уровням познавательной деятельности, формирует матрицу прослеживаемости компетенций и разрабатывает фрагмент банка заданий для LMS. Особое внимание уделяется валидности, качеству формулировок, правилам оценивания, доступности и анализу результатов.</w:t>
      </w:r>
    </w:p>
    <w:p>
      <w:pPr>
        <w:pStyle w:val="Heading1"/>
      </w:pPr>
      <w:r>
        <w:t>4. Цель практической работы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Освоить технологию проектирования теста как системы взаимосвязанных заданий, обеспечивающей репрезентативное и прозрачное измерение планируемых результатов обучения.</w:t>
      </w:r>
    </w:p>
    <w:p>
      <w:pPr>
        <w:pStyle w:val="Heading1"/>
      </w:pPr>
      <w:r>
        <w:t>5. Проверяемые компетенции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8"/>
        <w:gridCol w:w="3268"/>
        <w:gridCol w:w="3268"/>
      </w:tblGrid>
      <w:tr>
        <w:trPr>
          <w:tblHeader w:val="true"/>
          <w:cantSplit/>
        </w:trPr>
        <w:tc>
          <w:tcPr>
            <w:tcW w:type="dxa" w:w="1247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Компетенция</w:t>
            </w:r>
          </w:p>
        </w:tc>
        <w:tc>
          <w:tcPr>
            <w:tcW w:type="dxa" w:w="3515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Проявление компетенции в практической работе</w:t>
            </w:r>
          </w:p>
        </w:tc>
        <w:tc>
          <w:tcPr>
            <w:tcW w:type="dxa" w:w="3969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Индикаторы достижения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ПК-2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Проектирование контроля и учебно-оценочной деятельности в логике результатов обучения взрослых.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Выбирает адекватные доказательства достижения результата; согласует задание, критерии и форму контроля.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ПК-7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Разработка и применение оценочных средств, обеспечивающих валидность, прозрачность и воспроизводимость оценивания.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Формулирует измеримые критерии; разрабатывает шкалы, спецификации, рубрики и правила интерпретации результатов.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ПК-10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Анализ результатов тестирования, качества заданий и достаточности покрытия программы.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Использует данные для принятия решений; выявляет риски качества; предлагает реализуемые корректирующие действия.</w:t>
            </w:r>
          </w:p>
        </w:tc>
      </w:tr>
    </w:tbl>
    <w:p>
      <w:pPr>
        <w:spacing w:after="0"/>
      </w:pPr>
    </w:p>
    <w:p>
      <w:pPr>
        <w:pStyle w:val="Heading1"/>
      </w:pPr>
      <w:r>
        <w:t>6. Планируемые результаты выполнения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составлять паспорт теста и содержательную спецификацию;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распределять задания по темам, индикаторам и когнитивным уровням;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формировать матрицу оценочных средств и обеспечивать прослеживаемость;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выбирать тип задания с учетом проверяемого действия;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разрабатывать задания, варианты ответов, ключи, правила частичного балла и обратную связь;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обосновывать продолжительность, количество попыток, порог и правила интерпретации;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планировать экспертизу и последующий анализ качества тестовых заданий в LMS.</w:t>
      </w:r>
    </w:p>
    <w:p>
      <w:pPr>
        <w:pStyle w:val="Heading1"/>
      </w:pPr>
      <w:r>
        <w:t>7. Формат выполнения и порядок сдачи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Работа выполняется индивидуально в асинхронном дистанционном формате. Расчетная трудоемкость — 4 академических часа, включая анализ исходных данных, проектирование продукта, самопроверку и оформление.</w:t>
      </w:r>
    </w:p>
    <w:p>
      <w:r>
        <w:rPr>
          <w:rFonts w:ascii="Times New Roman" w:hAnsi="Times New Roman" w:eastAsia="Times New Roman"/>
          <w:b/>
          <w:i w:val="0"/>
          <w:sz w:val="24"/>
        </w:rPr>
        <w:t>Ожидаемые артефакты:</w:t>
      </w: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паспорт теста;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содержательная спецификация (тестовый план);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матрица «компетенция — индикатор — тема — задание»;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не менее 10 полностью разработанных тестовых заданий с ключами и комментариями;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правила начисления баллов, порог и интерпретация результата;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чек-лист экспертной проверки и требования к настройке теста в LMS.</w:t>
      </w:r>
    </w:p>
    <w:p>
      <w:r>
        <w:rPr>
          <w:rFonts w:ascii="Times New Roman" w:hAnsi="Times New Roman" w:eastAsia="Times New Roman"/>
          <w:b/>
          <w:i w:val="0"/>
          <w:sz w:val="24"/>
        </w:rPr>
        <w:t>Порядок сдачи:</w:t>
      </w:r>
      <w:r>
        <w:rPr>
          <w:rFonts w:ascii="Times New Roman" w:hAnsi="Times New Roman" w:eastAsia="Times New Roman"/>
          <w:b w:val="0"/>
          <w:i w:val="0"/>
          <w:sz w:val="24"/>
        </w:rPr>
      </w:r>
    </w:p>
    <w:p>
      <w:pPr>
        <w:pStyle w:val="ListNumber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Изучить кейс, исходные данные и требования к продукту.</w:t>
      </w:r>
    </w:p>
    <w:p>
      <w:pPr>
        <w:pStyle w:val="ListNumber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Заполнить обязательные таблицы и разработать документы по шаблонам приложений.</w:t>
      </w:r>
    </w:p>
    <w:p>
      <w:pPr>
        <w:pStyle w:val="ListNumber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Провести самопроверку по чек-листу и устранить несогласованности.</w:t>
      </w:r>
    </w:p>
    <w:p>
      <w:pPr>
        <w:pStyle w:val="ListNumber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Загрузить единый DOCX-файл в соответствующий элемент LMS до установленного срока.</w:t>
      </w:r>
    </w:p>
    <w:p>
      <w:pPr>
        <w:pStyle w:val="ListNumber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При защите кратко обосновать ключевые решения, показать связь продукта с компетенциями и ответить на вопросы преподавателя.</w:t>
      </w:r>
    </w:p>
    <w:p>
      <w:pPr>
        <w:pStyle w:val="Heading1"/>
      </w:pPr>
      <w:r>
        <w:t>8. Описание практической ситуации, кейса или проектной задачи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Для промежуточной аттестации по модулю 8 требуется разработать тест, который проверяет не только воспроизведение терминов, но и применение принципов оценивания к профессиональным ситуациям. Ранее использовался набор из 20 вопросов, составленный без спецификации: тема итоговой аттестации почти не проверялась, несколько заданий имели спорные ключи, а порог 70% не был обоснован.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Необходимо подготовить новую спецификацию 20-заданий теста и матрицу оценочных средств, а также фрагмент банка из 10 заданий. Полный банк впоследствии будет расширен методической группой до 35–40 заданий для случайной выборки в LMS.</w:t>
      </w:r>
    </w:p>
    <w:p>
      <w:pPr>
        <w:pStyle w:val="Heading1"/>
      </w:pPr>
      <w:r>
        <w:t>9. Исходные данные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01"/>
        <w:gridCol w:w="4901"/>
      </w:tblGrid>
      <w:tr>
        <w:trPr>
          <w:tblHeader w:val="true"/>
          <w:cantSplit/>
        </w:trPr>
        <w:tc>
          <w:tcPr>
            <w:tcW w:type="dxa" w:w="232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Параметр</w:t>
            </w:r>
          </w:p>
        </w:tc>
        <w:tc>
          <w:tcPr>
            <w:tcW w:type="dxa" w:w="6406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Назначение</w:t>
            </w:r>
          </w:p>
        </w:tc>
        <w:tc>
          <w:tcPr>
            <w:tcW w:type="dxa" w:w="64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Промежуточная аттестация по модулю 8.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Темы</w:t>
            </w:r>
          </w:p>
        </w:tc>
        <w:tc>
          <w:tcPr>
            <w:tcW w:type="dxa" w:w="64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8.1 — контроль в компетентностной модели; 8.2 — промежуточная аттестация и критерии; 8.3 — итоговая аттестация; 8.4 — мониторинг качества.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Объем выдаваемого теста</w:t>
            </w:r>
          </w:p>
        </w:tc>
        <w:tc>
          <w:tcPr>
            <w:tcW w:type="dxa" w:w="64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20 заданий, максимум 30 первичных баллов, ориентировочно 30 минут.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Когнитивные уровни</w:t>
            </w:r>
          </w:p>
        </w:tc>
        <w:tc>
          <w:tcPr>
            <w:tcW w:type="dxa" w:w="64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Воспроизведение — 20%; понимание — 30%; применение — 35%; анализ — 15%.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Распределение по темам</w:t>
            </w:r>
          </w:p>
        </w:tc>
        <w:tc>
          <w:tcPr>
            <w:tcW w:type="dxa" w:w="64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8.1 — 6 заданий; 8.2 — 6; 8.3 — 4; 8.4 — 4.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Типы заданий</w:t>
            </w:r>
          </w:p>
        </w:tc>
        <w:tc>
          <w:tcPr>
            <w:tcW w:type="dxa" w:w="64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Один ответ, несколько ответов, установление соответствия, последовательность, ситуационное задание.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Рекомендуемая настройка</w:t>
            </w:r>
          </w:p>
        </w:tc>
        <w:tc>
          <w:tcPr>
            <w:tcW w:type="dxa" w:w="64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2 попытки; случайная выборка; перемешивание вариантов там, где оно не нарушает смысл; сохранение журнала попыток.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Порог</w:t>
            </w:r>
          </w:p>
        </w:tc>
        <w:tc>
          <w:tcPr>
            <w:tcW w:type="dxa" w:w="640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Рабочая модель — 70% от максимума. Слушатель должен обосновать его через минимально необходимое покрытие и последствия ошибки.</w:t>
            </w:r>
          </w:p>
        </w:tc>
      </w:tr>
    </w:tbl>
    <w:p>
      <w:pPr>
        <w:spacing w:after="0"/>
      </w:pPr>
    </w:p>
    <w:p>
      <w:pPr>
        <w:pStyle w:val="Heading2"/>
      </w:pPr>
      <w:r>
        <w:t>Нормативно-методическая опора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Федеральный закон от 29.12.2012 № 273-ФЗ «Об образовании в Российской Федерации», прежде всего статьи 28 и 76 (в действующей редакции).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Приказ Минобрнауки России от 24.03.2025 № 266 «Об утверждении Порядка организации и осуществления образовательной деятельности по дополнительным профессиональным программам» (действует с 01.09.2025).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Утвержденная дополнительная профессиональная программа, фонд оценочных средств и локальные нормативные акты образовательной организации, регулирующие текущий контроль, промежуточную и итоговую аттестацию, порядок хранения результатов и рассмотрения спорных ситуаций.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Формы контроля, состав документов, пороговые значения, порядок работы комиссии и сроки устанавливаются образовательной организацией в пределах законодательства и утвержденной программы. Представленные в работе шаблоны являются методически обоснованной моделью и не подменяют локальные нормативные акты.</w:t>
      </w:r>
    </w:p>
    <w:p>
      <w:pPr>
        <w:pStyle w:val="Heading1"/>
      </w:pPr>
      <w:r>
        <w:t>10. Задание слушателю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Разработайте комплект проектной документации теста и фрагмент банка заданий. Комплект должен демонстрировать, что каждое задание имеет определенную функцию, а совокупность заданий репрезентативно проверяет заявленные результаты и компетенции.</w:t>
      </w:r>
    </w:p>
    <w:p>
      <w:pPr>
        <w:pStyle w:val="Heading1"/>
      </w:pPr>
      <w:r>
        <w:t>11. Подзадания или этапы выполнения</w:t>
      </w:r>
    </w:p>
    <w:p>
      <w:pPr>
        <w:pStyle w:val="ListNumber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Сформулируйте назначение теста, целевую аудиторию, условия проведения и ограничения интерпретации.</w:t>
      </w:r>
    </w:p>
    <w:p>
      <w:pPr>
        <w:pStyle w:val="ListNumber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Опишите 5–7 планируемых результатов и индикаторов, доступных тестовой проверке.</w:t>
      </w:r>
    </w:p>
    <w:p>
      <w:pPr>
        <w:pStyle w:val="ListNumber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Составьте тестовый план: распределите количество и баллы по темам и когнитивным уровням; проверьте итоговые суммы.</w:t>
      </w:r>
    </w:p>
    <w:p>
      <w:pPr>
        <w:pStyle w:val="ListNumber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Сформируйте матрицу оценочных средств, указав для каждого индикатора номера заданий и тип доказательства.</w:t>
      </w:r>
    </w:p>
    <w:p>
      <w:pPr>
        <w:pStyle w:val="ListNumber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Разработайте 10 заданий: не менее четырех с одним ответом, двух с несколькими ответами, одного на соответствие, одного на последовательность и двух ситуационных.</w:t>
      </w:r>
    </w:p>
    <w:p>
      <w:pPr>
        <w:pStyle w:val="ListNumber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Для каждого задания укажите проверяемый результат, уровень, ключ, максимальный балл, правило частичного оценивания и поясняющую обратную связь.</w:t>
      </w:r>
    </w:p>
    <w:p>
      <w:pPr>
        <w:pStyle w:val="ListNumber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Определите порог, продолжительность, число попыток, порядок ознакомления с результатами и действия при техническом сбое.</w:t>
      </w:r>
    </w:p>
    <w:p>
      <w:pPr>
        <w:pStyle w:val="ListNumber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Разработайте чек-лист экспертной проверки заданий и план анализа статистики после апробации.</w:t>
      </w:r>
    </w:p>
    <w:p>
      <w:pPr>
        <w:pStyle w:val="Heading1"/>
      </w:pPr>
      <w:r>
        <w:t>12. Требования к оформлению результата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итог представляется одним файлом DOCX; допускается приложение расчетной таблицы, если это прямо предусмотрено заданием;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объем основного аналитического или проектного текста — ориентировочно 6–12 страниц без учета титульного листа и приложений;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шрифт Times New Roman, 12–14 пт; межстрочный интервал 1,15–1,5; поля не менее 20 мм; таблицы должны иметь заголовки;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все решения должны быть связаны с планируемыми результатами обучения, доказательствами их достижения и спецификой взрослых слушателей ДПО;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использованные нормативные и методические источники указываются в конце работы; реквизиты источников проверяются на дату выполнения;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в примерах нельзя включать реальные персональные данные слушателей, преподавателей или заказчиков; используются обезличенные сведения.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таблицы спецификации должны давать одинаковые итоговые количества заданий и баллов;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каждое задание должно иметь однозначный ключ или формализованное правило экспертного оценивания;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дистракторы должны быть правдоподобными, но неверными по существу;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нельзя использовать подсказки по длине ответа, грамматическому согласованию или повтору слов из вопроса;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формулировки должны быть доступными и не зависеть от цвета, мелких изображений или неоправданно сложной навигации;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порог не должен представляться как универсальная норма закона: он обосновывается назначением теста и локальными решениями организации.</w:t>
      </w:r>
    </w:p>
    <w:p>
      <w:pPr>
        <w:pStyle w:val="Heading1"/>
      </w:pPr>
      <w:r>
        <w:t>13. Критерии оценивания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8"/>
        <w:gridCol w:w="3268"/>
        <w:gridCol w:w="3268"/>
      </w:tblGrid>
      <w:tr>
        <w:trPr>
          <w:tblHeader w:val="true"/>
          <w:cantSplit/>
        </w:trPr>
        <w:tc>
          <w:tcPr>
            <w:tcW w:type="dxa" w:w="4535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Критерий</w:t>
            </w:r>
          </w:p>
        </w:tc>
        <w:tc>
          <w:tcPr>
            <w:tcW w:type="dxa" w:w="113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Макс. балл</w:t>
            </w:r>
          </w:p>
        </w:tc>
        <w:tc>
          <w:tcPr>
            <w:tcW w:type="dxa" w:w="3175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Признаки полного выполнения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Целевое назначение и результаты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10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Назначение, аудитория, условия и ограничения определены; результаты измеримы.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Содержательная спецификация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15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Покрытие тем и уровней сбалансировано; суммы заданий и баллов согласованы.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Матрица прослеживаемости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15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Все индикаторы связаны с заданиями; видны пробелы и избыточное дублирование.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Качество тестовых заданий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25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Формулировки ясны; ключи однозначны; дистракторы функциональны; тип соответствует проверяемому действию.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Правила оценивания и порог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10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Баллы и частичное оценивание прозрачны; порог и интерпретация обоснованы.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Настройка LMS и доступность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10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Предусмотрены попытки, случайная выборка, журналирование, обратная связь и доступность.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Экспертиза и анализ качества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10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Есть чек-лист и план анализа сложности, различительной способности и проблемных заданий.</w:t>
            </w:r>
          </w:p>
        </w:tc>
      </w:tr>
      <w:tr>
        <w:trPr>
          <w:cantSplit/>
        </w:trPr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Оформление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5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Комплект структурирован, терминология и нумерация единообразны.</w:t>
            </w:r>
          </w:p>
        </w:tc>
      </w:tr>
    </w:tbl>
    <w:p>
      <w:pPr>
        <w:spacing w:after="0"/>
      </w:pPr>
    </w:p>
    <w:p>
      <w:pPr>
        <w:pStyle w:val="Heading1"/>
      </w:pPr>
      <w:r>
        <w:t>14. Шкала оценивания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8"/>
        <w:gridCol w:w="3268"/>
        <w:gridCol w:w="3268"/>
      </w:tblGrid>
      <w:tr>
        <w:trPr>
          <w:tblHeader w:val="true"/>
          <w:cantSplit/>
        </w:trPr>
        <w:tc>
          <w:tcPr>
            <w:tcW w:type="dxa" w:w="1247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Баллы</w:t>
            </w:r>
          </w:p>
        </w:tc>
        <w:tc>
          <w:tcPr>
            <w:tcW w:type="dxa" w:w="181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Уровень</w:t>
            </w:r>
          </w:p>
        </w:tc>
        <w:tc>
          <w:tcPr>
            <w:tcW w:type="dxa" w:w="5669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Решение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90–100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Высокий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Зачтено. Продукт готов к практическому применению после организационно-технического утверждения.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75–89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Достаточный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Зачтено. Имеются отдельные недочеты, не препятствующие использованию продукта.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60–74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Пороговый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Зачтено условно. Требуется адресная доработка по замечаниям преподавателя.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0–59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Недостаточный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Не зачтено. Работа подлежит повторному выполнению.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Times New Roman"/>
          <w:b w:val="0"/>
          <w:i w:val="0"/>
          <w:sz w:val="24"/>
        </w:rPr>
        <w:t>Критическое ограничение: спецификация не связана с результатами; ключи неоднозначны; матрица не покрывает заявленные компетенции; количественные итоги противоречат друг другу. При наличии критического дефекта итоговая оценка не может превышать 59 баллов до устранения нарушения.</w:t>
      </w:r>
    </w:p>
    <w:p>
      <w:pPr>
        <w:pStyle w:val="Heading1"/>
      </w:pPr>
      <w:r>
        <w:t>15. Типовые ошибки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тест проверяет преимущественно запоминание определений, хотя заявлено применение;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одна тема представлена непропорционально, а другая отсутствует;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тип задания не соответствует действию: анализ ситуации заменен вопросом на термин;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в вопросе используется отрицание без смысловой необходимости или двойное отрицание;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вариант «все перечисленное» позволяет угадать ответ без владения содержанием;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несколько ответов фактически можно признать правильными, но ключ предусматривает один;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частичный балл начисляется непрозрачно или поощряет выбор всех вариантов;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после попытки раскрывается весь банк при планируемом повторном прохождении;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порог объявлен обязательным без методического обоснования.</w:t>
      </w:r>
    </w:p>
    <w:p>
      <w:pPr>
        <w:pStyle w:val="Heading1"/>
      </w:pPr>
      <w:r>
        <w:t>16. Методические рекомендации слушателю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Сначала создайте таблицу покрытия, затем пишите задания. Это предотвращает случайный перекос банка.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Проверяйте одно задание на один основной объект измерения. Сложность содержания не должна возникать из-за запутанной формулировки.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Ситуационные задания начинайте с короткого контекста и профессионального решения, а не с пересказа лекции.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Для нескольких правильных ответов заранее задайте правило: полный балл, частичный балл и штраф за ошибочный выбор.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После апробации анализируйте не только процент правильных ответов, но и комментарии, время, частоту пропуска и поведение дистракторов.</w:t>
      </w:r>
    </w:p>
    <w:p>
      <w:pPr>
        <w:pStyle w:val="Heading1"/>
      </w:pPr>
      <w:r>
        <w:t>17. Чек-лист самопроверки перед сдачей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</w:tblGrid>
      <w:tr>
        <w:trPr>
          <w:tblHeader w:val="true"/>
          <w:cantSplit/>
        </w:trPr>
        <w:tc>
          <w:tcPr>
            <w:tcW w:type="dxa" w:w="567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№</w:t>
            </w:r>
          </w:p>
        </w:tc>
        <w:tc>
          <w:tcPr>
            <w:tcW w:type="dxa" w:w="5102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Контрольный вопрос</w:t>
            </w:r>
          </w:p>
        </w:tc>
        <w:tc>
          <w:tcPr>
            <w:tcW w:type="dxa" w:w="113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Да/Нет</w:t>
            </w:r>
          </w:p>
        </w:tc>
        <w:tc>
          <w:tcPr>
            <w:tcW w:type="dxa" w:w="2268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1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Количество заданий во всех таблицах совпадает?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2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Сумма первичных баллов совпадает с паспортом?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3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Каждый результат покрыт хотя бы одним адекватным заданием?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4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Есть задания уровня применения и анализа?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5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Каждый ключ проверен независимым чтением?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6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Дистракторы правдоподобны и не содержат подсказок?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7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Правила частичного балла исключают выгодное угадывание?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8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Порог и число попыток обоснованы?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9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Настройки LMS защищают банк и сохраняют доказательства попыток?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10</w:t>
            </w:r>
          </w:p>
        </w:tc>
        <w:tc>
          <w:tcPr>
            <w:tcW w:type="dxa" w:w="51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Материалы доступны без зависимости от цвета и мелких изображений?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t>18. Приложения и шаблоны</w:t>
      </w:r>
    </w:p>
    <w:p>
      <w:pPr>
        <w:pStyle w:val="Heading2"/>
      </w:pPr>
      <w:r>
        <w:t>Приложение 1. Паспорт теста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01"/>
        <w:gridCol w:w="4901"/>
      </w:tblGrid>
      <w:tr>
        <w:trPr>
          <w:tblHeader w:val="true"/>
          <w:cantSplit/>
        </w:trPr>
        <w:tc>
          <w:tcPr>
            <w:tcW w:type="dxa" w:w="2835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Поле</w:t>
            </w:r>
          </w:p>
        </w:tc>
        <w:tc>
          <w:tcPr>
            <w:tcW w:type="dxa" w:w="5896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Назначение</w:t>
            </w:r>
          </w:p>
        </w:tc>
        <w:tc>
          <w:tcPr>
            <w:tcW w:type="dxa" w:w="5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Целевая группа</w:t>
            </w:r>
          </w:p>
        </w:tc>
        <w:tc>
          <w:tcPr>
            <w:tcW w:type="dxa" w:w="5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Проверяемые результаты</w:t>
            </w:r>
          </w:p>
        </w:tc>
        <w:tc>
          <w:tcPr>
            <w:tcW w:type="dxa" w:w="5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Количество заданий / баллов</w:t>
            </w:r>
          </w:p>
        </w:tc>
        <w:tc>
          <w:tcPr>
            <w:tcW w:type="dxa" w:w="5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Продолжительность</w:t>
            </w:r>
          </w:p>
        </w:tc>
        <w:tc>
          <w:tcPr>
            <w:tcW w:type="dxa" w:w="5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Формат и условия</w:t>
            </w:r>
          </w:p>
        </w:tc>
        <w:tc>
          <w:tcPr>
            <w:tcW w:type="dxa" w:w="5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Порог</w:t>
            </w:r>
          </w:p>
        </w:tc>
        <w:tc>
          <w:tcPr>
            <w:tcW w:type="dxa" w:w="5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Попытки</w:t>
            </w:r>
          </w:p>
        </w:tc>
        <w:tc>
          <w:tcPr>
            <w:tcW w:type="dxa" w:w="5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Обратная связь</w:t>
            </w:r>
          </w:p>
        </w:tc>
        <w:tc>
          <w:tcPr>
            <w:tcW w:type="dxa" w:w="5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Версия и дата</w:t>
            </w:r>
          </w:p>
        </w:tc>
        <w:tc>
          <w:tcPr>
            <w:tcW w:type="dxa" w:w="5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Приложение 2. Рекомендуемый тестовый план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34"/>
        <w:gridCol w:w="1634"/>
        <w:gridCol w:w="1634"/>
        <w:gridCol w:w="1634"/>
        <w:gridCol w:w="1634"/>
        <w:gridCol w:w="1634"/>
      </w:tblGrid>
      <w:tr>
        <w:trPr>
          <w:tblHeader w:val="true"/>
          <w:cantSplit/>
        </w:trPr>
        <w:tc>
          <w:tcPr>
            <w:tcW w:type="dxa" w:w="170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Тема</w:t>
            </w:r>
          </w:p>
        </w:tc>
        <w:tc>
          <w:tcPr>
            <w:tcW w:type="dxa" w:w="136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Воспроизведение</w:t>
            </w:r>
          </w:p>
        </w:tc>
        <w:tc>
          <w:tcPr>
            <w:tcW w:type="dxa" w:w="136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Понимание</w:t>
            </w:r>
          </w:p>
        </w:tc>
        <w:tc>
          <w:tcPr>
            <w:tcW w:type="dxa" w:w="136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Применение</w:t>
            </w:r>
          </w:p>
        </w:tc>
        <w:tc>
          <w:tcPr>
            <w:tcW w:type="dxa" w:w="136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Анализ</w:t>
            </w:r>
          </w:p>
        </w:tc>
        <w:tc>
          <w:tcPr>
            <w:tcW w:type="dxa" w:w="113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Итого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8.1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1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2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2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1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6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8.2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1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2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2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1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6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8.3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1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1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2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0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8.4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1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1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1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1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Итого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4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6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7</w:t>
            </w:r>
          </w:p>
        </w:tc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3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20</w:t>
            </w:r>
          </w:p>
        </w:tc>
      </w:tr>
    </w:tbl>
    <w:p>
      <w:pPr>
        <w:spacing w:after="0"/>
      </w:pPr>
    </w:p>
    <w:p>
      <w:pPr>
        <w:pStyle w:val="Heading2"/>
      </w:pPr>
      <w:r>
        <w:t>Приложение 3. Матрица оценочных средств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34"/>
        <w:gridCol w:w="1634"/>
        <w:gridCol w:w="1634"/>
        <w:gridCol w:w="1634"/>
        <w:gridCol w:w="1634"/>
        <w:gridCol w:w="1634"/>
      </w:tblGrid>
      <w:tr>
        <w:trPr>
          <w:tblHeader w:val="true"/>
          <w:cantSplit/>
        </w:trPr>
        <w:tc>
          <w:tcPr>
            <w:tcW w:type="dxa" w:w="1928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Компетенция / индикатор</w:t>
            </w:r>
          </w:p>
        </w:tc>
        <w:tc>
          <w:tcPr>
            <w:tcW w:type="dxa" w:w="113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Тема</w:t>
            </w:r>
          </w:p>
        </w:tc>
        <w:tc>
          <w:tcPr>
            <w:tcW w:type="dxa" w:w="204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Доказательство</w:t>
            </w:r>
          </w:p>
        </w:tc>
        <w:tc>
          <w:tcPr>
            <w:tcW w:type="dxa" w:w="113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№ задания</w:t>
            </w:r>
          </w:p>
        </w:tc>
        <w:tc>
          <w:tcPr>
            <w:tcW w:type="dxa" w:w="1417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Тип</w:t>
            </w:r>
          </w:p>
        </w:tc>
        <w:tc>
          <w:tcPr>
            <w:tcW w:type="dxa" w:w="850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Баллы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  <w:tc>
          <w:tcPr>
            <w:tcW w:type="dxa" w:w="8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Приложение 4. Карточка тестового задания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01"/>
        <w:gridCol w:w="4901"/>
      </w:tblGrid>
      <w:tr>
        <w:trPr>
          <w:tblHeader w:val="true"/>
          <w:cantSplit/>
        </w:trPr>
        <w:tc>
          <w:tcPr>
            <w:tcW w:type="dxa" w:w="2835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Поле</w:t>
            </w:r>
          </w:p>
        </w:tc>
        <w:tc>
          <w:tcPr>
            <w:tcW w:type="dxa" w:w="5896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Заполнение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Проверяемый результат / индикатор</w:t>
            </w:r>
          </w:p>
        </w:tc>
        <w:tc>
          <w:tcPr>
            <w:tcW w:type="dxa" w:w="5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Тема и когнитивный уровень</w:t>
            </w:r>
          </w:p>
        </w:tc>
        <w:tc>
          <w:tcPr>
            <w:tcW w:type="dxa" w:w="5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Тип задания</w:t>
            </w:r>
          </w:p>
        </w:tc>
        <w:tc>
          <w:tcPr>
            <w:tcW w:type="dxa" w:w="5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Условие</w:t>
            </w:r>
          </w:p>
        </w:tc>
        <w:tc>
          <w:tcPr>
            <w:tcW w:type="dxa" w:w="5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Варианты / элементы</w:t>
            </w:r>
          </w:p>
        </w:tc>
        <w:tc>
          <w:tcPr>
            <w:tcW w:type="dxa" w:w="5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Ключ</w:t>
            </w:r>
          </w:p>
        </w:tc>
        <w:tc>
          <w:tcPr>
            <w:tcW w:type="dxa" w:w="5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Максимальный и частичный балл</w:t>
            </w:r>
          </w:p>
        </w:tc>
        <w:tc>
          <w:tcPr>
            <w:tcW w:type="dxa" w:w="5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Обратная связь</w:t>
            </w:r>
          </w:p>
        </w:tc>
        <w:tc>
          <w:tcPr>
            <w:tcW w:type="dxa" w:w="5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Экспертные замечания</w:t>
            </w:r>
          </w:p>
        </w:tc>
        <w:tc>
          <w:tcPr>
            <w:tcW w:type="dxa" w:w="5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Приложение 5. Пример фрагмента банка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34"/>
        <w:gridCol w:w="1634"/>
        <w:gridCol w:w="1634"/>
        <w:gridCol w:w="1634"/>
        <w:gridCol w:w="1634"/>
        <w:gridCol w:w="1634"/>
      </w:tblGrid>
      <w:tr>
        <w:trPr>
          <w:tblHeader w:val="true"/>
          <w:cantSplit/>
        </w:trPr>
        <w:tc>
          <w:tcPr>
            <w:tcW w:type="dxa" w:w="45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№</w:t>
            </w:r>
          </w:p>
        </w:tc>
        <w:tc>
          <w:tcPr>
            <w:tcW w:type="dxa" w:w="113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Тип</w:t>
            </w:r>
          </w:p>
        </w:tc>
        <w:tc>
          <w:tcPr>
            <w:tcW w:type="dxa" w:w="2268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Условие</w:t>
            </w:r>
          </w:p>
        </w:tc>
        <w:tc>
          <w:tcPr>
            <w:tcW w:type="dxa" w:w="3118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Варианты / содержание</w:t>
            </w:r>
          </w:p>
        </w:tc>
        <w:tc>
          <w:tcPr>
            <w:tcW w:type="dxa" w:w="1020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Ключ</w:t>
            </w:r>
          </w:p>
        </w:tc>
        <w:tc>
          <w:tcPr>
            <w:tcW w:type="dxa" w:w="680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Баллы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1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Один ответ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Какой признак наиболее точно характеризует валидный критерий оценивания?</w:t>
            </w:r>
          </w:p>
        </w:tc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А. Он легко подсчитывается. Б. Он непосредственно отражает проверяемый результат. В. Он занимает одну строку. Г. Он одинаков для всех дисциплин.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Б</w:t>
            </w:r>
          </w:p>
        </w:tc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2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Несколько ответов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Какие действия повышают прозрачность промежуточной аттестации?</w:t>
            </w:r>
          </w:p>
        </w:tc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А. Публикация критериев до выполнения. Б. Изменение порога после проверки. В. Примеры уровней выполнения. Г. Фиксация правил апелляции.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А, В, Г</w:t>
            </w:r>
          </w:p>
        </w:tc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3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Соответствие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Соотнесите форму и преимущественную функцию.</w:t>
            </w:r>
          </w:p>
        </w:tc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Тест — проверка структурированного знания; практический кейс — применение; защита — аргументация и ответы; наблюдение — выполнение действия.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Указанные пары</w:t>
            </w:r>
          </w:p>
        </w:tc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4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Последовательность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Установите порядок разработки теста.</w:t>
            </w:r>
          </w:p>
        </w:tc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Результаты → спецификация → задания → экспертиза → апробация → анализ.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Указанная последовательность</w:t>
            </w:r>
          </w:p>
        </w:tc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5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Ситуационное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Два эксперта расходятся на 18 баллов по одной рубрике. Какое первоочередное действие обосновано?</w:t>
            </w:r>
          </w:p>
        </w:tc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А. Усреднить автоматически. Б. Признать больший балл. В. Сопоставить доказательства по критериям и провести калибровку. Г. Исключить работу.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В</w:t>
            </w:r>
          </w:p>
        </w:tc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6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Один ответ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Какой показатель сам по себе не доказывает рост компетенции?</w:t>
            </w:r>
          </w:p>
        </w:tc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А. Увеличение среднего посттеста. Б. Высокая удовлетворенность интерфейсом. В. Улучшение практического продукта. Г. Стабильность экспертных оценок.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Б</w:t>
            </w:r>
          </w:p>
        </w:tc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7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Несколько ответов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Что следует проверить после апробации задания?</w:t>
            </w:r>
          </w:p>
        </w:tc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А. Долю правильных ответов. Б. Работу дистракторов. В. Время выполнения. Г. Любимый цвет слушателей.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А, Б, В</w:t>
            </w:r>
          </w:p>
        </w:tc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8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Один ответ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Почему порог 70% не следует объявлять универсальным требованием закона?</w:t>
            </w:r>
          </w:p>
        </w:tc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А. Порог всегда 50%. Б. Закон не регулирует ДПО. В. Порог определяется программой и локальными решениями с учетом минимального результата. Г. Тесты запрещены.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В</w:t>
            </w:r>
          </w:p>
        </w:tc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9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Ситуационное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Слушатель набрал 69% из-за одного технически спорного задания. Что нужно сделать до итогового решения?</w:t>
            </w:r>
          </w:p>
        </w:tc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Проверить корректность задания и журнал попытки; применить заранее установленный порядок рассмотрения сбоя, не менять правила индивидуально.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Экспертный ключ</w:t>
            </w:r>
          </w:p>
        </w:tc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10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Один ответ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Какой способ лучше обеспечивает покрытие компетенций?</w:t>
            </w:r>
          </w:p>
        </w:tc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А. Случайный список вопросов. Б. Матрица связи индикаторов с заданиями. В. Увеличение шрифта. Г. Одинаковый тип всех заданий.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Б</w:t>
            </w:r>
          </w:p>
        </w:tc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19"/>
              </w:rPr>
              <w:t>1</w:t>
            </w:r>
          </w:p>
        </w:tc>
      </w:tr>
    </w:tbl>
    <w:p>
      <w:pPr>
        <w:spacing w:after="0"/>
      </w:pPr>
    </w:p>
    <w:p>
      <w:pPr>
        <w:pStyle w:val="Heading2"/>
      </w:pPr>
      <w:r>
        <w:t>Приложение 6. Чек-лист экспертной проверки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Задание соответствует результату и когнитивному уровню.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Условие содержит только необходимый контекст и не допускает двусмысленности.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Ключ подтвержден источником или согласованной профессиональной логикой.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Дистракторы функциональны, однородны по форме и не содержат подсказок.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Правила баллов и обратной связи заданы до публикации.</w:t>
      </w:r>
    </w:p>
    <w:p>
      <w:pPr>
        <w:pStyle w:val="ListBullet"/>
        <w:ind w:firstLine="0" w:left="425"/>
      </w:pPr>
      <w:r>
        <w:rPr>
          <w:rFonts w:ascii="Times New Roman" w:hAnsi="Times New Roman" w:eastAsia="Times New Roman"/>
          <w:b w:val="0"/>
          <w:i w:val="0"/>
          <w:sz w:val="24"/>
        </w:rPr>
        <w:t>Задание технически воспроизводимо и доступно в выбранной LMS.</w:t>
      </w:r>
    </w:p>
    <w:sectPr w:rsidR="00FC693F" w:rsidRPr="0006063C" w:rsidSect="00034616">
      <w:footerReference w:type="default" r:id="rId9"/>
      <w:pgSz w:w="12240" w:h="15840"/>
      <w:pgMar w:top="1134" w:right="1020" w:bottom="1134" w:left="141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ind w:firstLine="709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ind w:firstLine="0"/>
      <w:jc w:val="left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00"/>
      <w:ind w:firstLine="0"/>
      <w:contextualSpacing/>
      <w:jc w:val="left"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