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26"/>
        </w:rPr>
        <w:t>ОБЩЕСТВО С ОГРАНИЧЕННОЙ ОТВЕТСТВЕННОСТЬЮ «ЭКСПАЛЬЯНС»</w:t>
      </w:r>
    </w:p>
    <w:p>
      <w:pPr>
        <w:spacing w:after="20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Дополнительная профессиональная программа профессиональной переподготовки «Преподаватель дополнительного профессионального образования»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Объем программы: 520 академических часов</w:t>
      </w:r>
    </w:p>
    <w:p/>
    <w:p/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color w:val="1F4E78"/>
          <w:sz w:val="36"/>
        </w:rPr>
        <w:t>ПРАКТИЧЕСКАЯ РАБОТА № 6.3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РАЗРАБОТКА ОНЛАЙН-ТЕСТА И ЗАДАНИЯ С АВТОМАТИЧЕСКОЙ ПРОВЕРКОЙ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Модуль 6. Цифровая образовательная среда, электронное обучение и дистанционные образовательные технологии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Трудоемкость: 4 академических часа</w:t>
      </w:r>
    </w:p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51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Сведения о слушателе</w:t>
            </w:r>
          </w:p>
        </w:tc>
        <w:tc>
          <w:tcPr>
            <w:tcW w:type="dxa" w:w="58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Заполняется слушателем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Ф.И.О.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Учебная группа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>Дата выполнения</w:t>
            </w:r>
          </w:p>
        </w:tc>
        <w:tc>
          <w:tcPr>
            <w:tcW w:type="dxa" w:w="58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pacing w:after="0"/>
      </w:pPr>
    </w:p>
    <w:p/>
    <w:p/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г. Камбарка, 2026</w:t>
      </w:r>
    </w:p>
    <w:p>
      <w:r>
        <w:br w:type="page"/>
      </w:r>
    </w:p>
    <w:p>
      <w:pPr>
        <w:pStyle w:val="Heading1"/>
      </w:pPr>
      <w:r>
        <w:t>1. Наименование практической работы</w:t>
      </w:r>
    </w:p>
    <w:p>
      <w:pPr>
        <w:ind w:firstLine="0"/>
        <w:jc w:val="both"/>
      </w:pPr>
      <w:r>
        <w:rPr>
          <w:rFonts w:ascii="Times New Roman" w:hAnsi="Times New Roman" w:eastAsia="Times New Roman"/>
          <w:b w:val="0"/>
          <w:i w:val="0"/>
        </w:rPr>
        <w:t>Разработка онлайн-теста и задания с автоматической проверкой (4 академических часа).</w:t>
      </w:r>
    </w:p>
    <w:p>
      <w:pPr>
        <w:pStyle w:val="Heading1"/>
      </w:pPr>
      <w:r>
        <w:t>2. Аннотация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Практическая работа посвящена проектированию онлайн-оценивания: от спецификации и матрицы результатов до банка заданий, ключей, обратной связи и параметров LMS. Слушатель различает то, что допустимо проверять автоматически, и профессиональные действия, для которых необходим экспертный рубрикатор.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Итоговый комплект должен обеспечивать валидность, прозрачность, техническую работоспособность и академическую добросовестность. Он пригоден для загрузки в LMS вручную или через поддерживаемый формат импорта.</w:t>
      </w:r>
    </w:p>
    <w:p>
      <w:pPr>
        <w:pStyle w:val="Heading1"/>
      </w:pPr>
      <w:r>
        <w:t>3. Цель практической работы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Сформировать умение разрабатывать онлайн-тест и автоматизируемое задание, которые надежно проверяют заявленные результаты обучения, дают содержательную обратную связь и корректно настраиваются в LMS.</w:t>
      </w:r>
    </w:p>
    <w:p>
      <w:pPr>
        <w:pStyle w:val="Heading1"/>
      </w:pPr>
      <w:r>
        <w:t>4. Проверяемые компетенции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147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Компетенция</w:t>
            </w:r>
          </w:p>
        </w:tc>
        <w:tc>
          <w:tcPr>
            <w:tcW w:type="dxa" w:w="78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Проверяемое проявление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ПК-5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Проектирует и применяет цифровую образовательную среду, LMS, электронные ресурсы, коммуникационные и оценочные инструменты с учетом целей обучения взрослых.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ПК-8</w:t>
            </w:r>
          </w:p>
        </w:tc>
        <w:tc>
          <w:tcPr>
            <w:tcW w:type="dxa" w:w="7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9"/>
              </w:rPr>
              <w:t>Обеспечивает качество, доступность, академическую добросовестность, идентификацию обучающихся, информационную безопасность и правомерную обработку данных в онлайн-обучении.</w:t>
            </w:r>
          </w:p>
        </w:tc>
      </w:tr>
    </w:tbl>
    <w:p>
      <w:pPr>
        <w:spacing w:after="0"/>
      </w:pPr>
    </w:p>
    <w:p>
      <w:pPr>
        <w:pStyle w:val="Heading1"/>
      </w:pPr>
      <w:r>
        <w:t>5. Планируемые результаты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5216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После выполнения слушатель умеет</w:t>
            </w:r>
          </w:p>
        </w:tc>
        <w:tc>
          <w:tcPr>
            <w:tcW w:type="dxa" w:w="413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Подтверждающий артефакт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Строить спецификацию онлайн-теста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Матрица содержания, уровней и количества заданий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Конструировать задания разных типов и качественные дистракторы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Банк не менее 15 заданий с ключами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Проектировать автоматическую обратную связь и шкалу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Ключи, баллы, комментарии, порог</w:t>
            </w:r>
          </w:p>
        </w:tc>
      </w:tr>
      <w:tr>
        <w:trPr>
          <w:cantSplit/>
        </w:trPr>
        <w:tc>
          <w:tcPr>
            <w:tcW w:type="dxa" w:w="521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Настраивать честность и анализировать качество теста</w:t>
            </w:r>
          </w:p>
        </w:tc>
        <w:tc>
          <w:tcPr>
            <w:tcW w:type="dxa" w:w="413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Карта настроек и план посттестового анализа</w:t>
            </w:r>
          </w:p>
        </w:tc>
      </w:tr>
    </w:tbl>
    <w:p>
      <w:pPr>
        <w:spacing w:after="0"/>
      </w:pPr>
    </w:p>
    <w:p>
      <w:pPr>
        <w:pStyle w:val="Heading1"/>
      </w:pPr>
      <w:r>
        <w:t>6. Формат выполнения и порядок сдачи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97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Формат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Индивидуальная проектная работа в текстовом редакторе и, при наличии доступа, в учебной LMS. Допустимо использовать демонстрационный курс без реальных персональных данных.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Расчетное время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 академических часа (180 минут): анализ исходных данных, проектирование, оформление, самопроверка и подготовка к защите.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сдаваемого результата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спецификация и матрица онлайн-теста; банк из 15-20 заданий минимум четырех типов; ключи, баллы и обратная связь к ответам; одно задание с автоматической или полуавтоматической проверкой; карточка настроек LMS и план анализа результатов.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Способ сдачи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DOCX-файл либо единый PDF/DOCX-отчет со встроенными таблицами и, при работе в LMS, ссылкой или обезличенными снимками экрана. Ссылки должны открываться преподавателю.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Защита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Краткое обоснование ключевых решений: 3-5 минут. Слушатель показывает связь результата обучения, активности, оценивания, обратной связи и цифровых настроек.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Критерий зачета</w:t>
            </w:r>
          </w:p>
        </w:tc>
        <w:tc>
          <w:tcPr>
            <w:tcW w:type="dxa" w:w="697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менее 70 баллов из 100 и отсутствие критических ошибок, указанных в разделе 14.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Защита данных.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Не размещайте в учебном продукте реальные паспортные данные, медицинские сведения, логины, пароли, номера телефонов или иные данные третьих лиц. Используйте условные Ф.И.О. и демонстрационные учетные записи.</w:t>
            </w:r>
          </w:p>
        </w:tc>
      </w:tr>
    </w:tbl>
    <w:p>
      <w:pPr>
        <w:spacing w:after="0"/>
      </w:pPr>
    </w:p>
    <w:p>
      <w:pPr>
        <w:pStyle w:val="Heading1"/>
      </w:pPr>
      <w:r>
        <w:t>7. Описание практической ситуации, кейса или проектной задачи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Для завершения темы «Электронное обучение и ДОТ в ДПО» требуется разработать онлайн-контроль. В старом тесте было 25 вопросов на запоминание терминов, правильный вариант почти всегда был самым длинным, после попытки отображался только процент. Высокие баллы не подтверждали способность применять правила на практике.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Новый контроль должен проверять понимание, применение и анализ типовых ситуаций. Часть заданий LMS оценивает автоматически. Одно короткое профессиональное решение допускает полуавтоматическую проверку по ключевым элементам с последующим просмотром преподавателем.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Профессиональная роль.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Вы выступаете разработчиком оценочных средств и отвечаете одновременно за педагогическую валидность, качество формулировок, настройки LMS и интерпретацию результатов.</w:t>
            </w:r>
          </w:p>
        </w:tc>
      </w:tr>
    </w:tbl>
    <w:p>
      <w:pPr>
        <w:spacing w:after="0"/>
      </w:pPr>
    </w:p>
    <w:p>
      <w:pPr>
        <w:pStyle w:val="Heading1"/>
      </w:pPr>
      <w:r>
        <w:t>8. Исходные данные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72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663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Исходное условие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Аудитория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Преподаватели ДПО; 20 слушателей; разный опыт работы с LMS.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Проверяемые результаты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Различать ЭО и ДОТ; выбирать цифровой формат под задачу; проектировать элемент LMS; выявлять риски академической добросовестности и данных.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Объем теста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15-20 заданий, 25 минут, 2 попытки; итоговый балл - лучший результат.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Типы заданий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Один ответ; несколько ответов; соответствие; последовательность; короткий ответ или числовое значение.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Состав сложности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Ориентир: 30% базовое понимание, 50% применение, 20% анализ ситуации.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Порог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70% для зачета; после первой попытки - тематическая обратная связь без полного раскрытия банка.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Автоматизируемое задание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Выбор последовательности действий при техническом сбое и краткое обоснование по заданным ключевым элементам.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Ограничения</w:t>
            </w:r>
          </w:p>
        </w:tc>
        <w:tc>
          <w:tcPr>
            <w:tcW w:type="dxa" w:w="663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использовать двусмысленные отрицания, «все перечисленное», заведомо абсурдные дистракторы и сбор лишних данных.</w:t>
            </w:r>
          </w:p>
        </w:tc>
      </w:tr>
    </w:tbl>
    <w:p>
      <w:pPr>
        <w:spacing w:after="0"/>
      </w:pPr>
    </w:p>
    <w:p>
      <w:pPr>
        <w:pStyle w:val="Heading2"/>
      </w:pPr>
      <w:r>
        <w:t>Нормативно-методическая опора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Федеральный закон от 29.12.2012 № 273-ФЗ «Об образовании в Российской Федерации» (в том числе положения об электронном обучении, дистанционных образовательных технологиях и дополнительном профессиональном образовании).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Постановление Правительства Российской Федерации от 11.10.2023 № 1678 о правилах применения организациями электронного обучения и дистанционных образовательных технологий при реализации образовательных программ.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Приказ Минобрнауки России от 24.03.2025 № 266, устанавливающий порядок организации и осуществления образовательной деятельности по дополнительным профессиональным программам.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Федеральные законы от 27.07.2006 № 152-ФЗ «О персональных данных» и № 149-ФЗ «Об информации, информационных технологиях и о защите информации».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Локальные акты образовательной организации: положение об ЭО и ДОТ, политика обработки персональных данных, регламент информационной безопасности, положение о текущем контроле и промежуточной аттестации, инструкции для пользователей LMS.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Важное ограничение.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Нормативные акты определяют рамочные обязанности организации. Конкретные формы карт, матриц и чек-листов в приложениях являются методическими шаблонами, а не утвержденными государством обязательными формами.</w:t>
            </w:r>
          </w:p>
        </w:tc>
      </w:tr>
    </w:tbl>
    <w:p>
      <w:pPr>
        <w:spacing w:after="0"/>
      </w:pPr>
    </w:p>
    <w:p>
      <w:pPr>
        <w:pStyle w:val="Heading1"/>
      </w:pPr>
      <w:r>
        <w:t>9. Задание слушателю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Разработайте комплект онлайн-оценивания, в котором каждое задание имеет идентификатор, проверяемый результат, уровень, тип, формулировку, варианты или ожидаемый ответ, ключ, балл и обратную связь. Опишите настройки попыток, случайной выборки, времени, показа ответов и анализа статистики.</w:t>
      </w:r>
    </w:p>
    <w:p>
      <w:pPr>
        <w:pStyle w:val="Heading2"/>
      </w:pPr>
      <w:r>
        <w:t>Ожидаемые артефакты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спецификация и матрица онлайн-теста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банк из 15-20 заданий минимум четырех типов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ключи, баллы и обратная связь к ответам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одно задание с автоматической или полуавтоматической проверкой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карточка настроек LMS и план анализа результатов</w:t>
      </w:r>
    </w:p>
    <w:p>
      <w:pPr>
        <w:pStyle w:val="Heading1"/>
      </w:pPr>
      <w:r>
        <w:t>10. Подзадания и этапы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tblHeader w:val="true"/>
          <w:cantSplit/>
        </w:trPr>
        <w:tc>
          <w:tcPr>
            <w:tcW w:type="dxa" w:w="102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Этап</w:t>
            </w:r>
          </w:p>
        </w:tc>
        <w:tc>
          <w:tcPr>
            <w:tcW w:type="dxa" w:w="43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Действия слушателя</w:t>
            </w:r>
          </w:p>
        </w:tc>
        <w:tc>
          <w:tcPr>
            <w:tcW w:type="dxa" w:w="28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Результат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Время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Уточнить результаты и определить долю содержания и когнитивных уровней.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Спецификация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30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Составить матрицу заданий и выбрать подходящие типы.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План банка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3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Разработать 15-20 заданий, ключи, баллы и обратную связь.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Банк заданий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75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4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Спроектировать автоматизируемое/полуавтоматическое задание и рубрикатор просмотра.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Карточка задания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25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5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Описать настройки LMS, меры добросовестности и доступности.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Карта настроек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 мин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6</w:t>
            </w:r>
          </w:p>
        </w:tc>
        <w:tc>
          <w:tcPr>
            <w:tcW w:type="dxa" w:w="43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Провести экспертную проверку формулировок и подготовить план анализа статистики.</w:t>
            </w:r>
          </w:p>
        </w:tc>
        <w:tc>
          <w:tcPr>
            <w:tcW w:type="dxa" w:w="28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Протокол качества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 мин</w:t>
            </w:r>
          </w:p>
        </w:tc>
      </w:tr>
    </w:tbl>
    <w:p>
      <w:pPr>
        <w:spacing w:after="0"/>
      </w:pPr>
    </w:p>
    <w:p>
      <w:pPr>
        <w:pStyle w:val="Heading1"/>
      </w:pPr>
      <w:r>
        <w:t>11. Требования к оформлению результата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Титульный лист: программа, модуль, номер и наименование работы, Ф.И.О. слушателя, группа и дата.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Основной текст структурирован заголовками; таблицы имеют названия, понятные графы и заполнены без противоречий.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Рекомендуемый объем основного результата — 6-12 страниц без учета приложений; при необходимости допускается больший объем.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Шрифт 11-12 pt, межстрочный интервал 1,0-1,15; таблицы допускается оформлять шрифтом 9-10 pt при сохранении читаемости.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решение сопровождается кратким обоснованием: какой результат обучения, риск или потребность взрослой аудитории оно поддерживает.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Ссылки и снимки LMS обезличены; названия кнопок, разделов и настроек воспроизводятся точно.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В конце размещены вывод, чек-лист самопроверки и перечень использованных нормативных и методических источников.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Каждое тестовое задание обозначьте кодом, например Т6.03-01; для вопросов с несколькими ответами явно укажите правило частичного балла или его отсутствие.</w:t>
      </w:r>
    </w:p>
    <w:p>
      <w:pPr>
        <w:pStyle w:val="Heading1"/>
      </w:pPr>
      <w:r>
        <w:t>12. Критерии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43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Критерий</w:t>
            </w:r>
          </w:p>
        </w:tc>
        <w:tc>
          <w:tcPr>
            <w:tcW w:type="dxa" w:w="5783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Индикаторы качества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Макс. балл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Спецификация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Охвачены результаты, содержание, уровни сложности, типы и баллы.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Соответствие результатов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Каждое задание измеряет заявленный показатель, а не случайную осведомленность.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Качество формулировок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двусмысленности, подсказок, лишних отрицаний и зависимости от угадывания.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18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Дистракторы и ключи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Ошибочные варианты правдоподобны; ключи однозначны; частичный балл обоснован.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14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Комментарий объясняет принцип и направляет к повторному изучению.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Автоматизируемое задание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Автоматизация соответствует типу результата, предусмотрен экспертный контроль сложного ответа.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Настройки и добросовестность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Попытки, время, рандомизация, показ ответов, идентификация и доступность согласованы.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Анализ и оформление</w:t>
            </w:r>
          </w:p>
        </w:tc>
        <w:tc>
          <w:tcPr>
            <w:tcW w:type="dxa" w:w="5783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Есть план анализа трудности и различающей способности; комплект готов к переносу.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8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Правило подсчета.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Баллы по критериям суммируются. Преподаватель вправе снизить балл внутри критерия, если решение формально присутствует, но не связано с исходными данными, неработоспособно или не подтверждено артефактом.</w:t>
            </w:r>
          </w:p>
        </w:tc>
      </w:tr>
    </w:tbl>
    <w:p>
      <w:pPr>
        <w:spacing w:after="0"/>
      </w:pPr>
    </w:p>
    <w:p>
      <w:pPr>
        <w:pStyle w:val="Heading1"/>
      </w:pPr>
      <w:r>
        <w:t>13. Шкала оценивания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19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Оценка</w:t>
            </w:r>
          </w:p>
        </w:tc>
        <w:tc>
          <w:tcPr>
            <w:tcW w:type="dxa" w:w="6009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Характеристика результата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90-100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Отлично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Продукт целостный, практически применимый, методически и технически согласованный; решения обоснованы; критических ошибок нет.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80-89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Хорошо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Основные требования выполнены; имеются отдельные недочеты, не нарушающие логику и работоспособность продукта.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70-79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Удовлетворительно /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Минимально необходимый продукт создан, но часть решений поверхностна, шаблонна или требует локальной доработки.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0-69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достигнут порог качества, отсутствуют обязательные артефакты либо продукт внутренне противоречив.</w:t>
            </w:r>
          </w:p>
        </w:tc>
      </w:tr>
      <w:tr>
        <w:trPr>
          <w:cantSplit/>
        </w:trPr>
        <w:tc>
          <w:tcPr>
            <w:tcW w:type="dxa" w:w="119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Любой балл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Не зачтено при критической ошибке</w:t>
            </w:r>
          </w:p>
        </w:tc>
        <w:tc>
          <w:tcPr>
            <w:tcW w:type="dxa" w:w="600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Допущено нарушение безопасности, законодательства, академической добросовестности или невозможно проверить принадлежность и результат работы.</w:t>
            </w:r>
          </w:p>
        </w:tc>
      </w:tr>
    </w:tbl>
    <w:p>
      <w:pPr>
        <w:spacing w:after="0"/>
      </w:pPr>
    </w:p>
    <w:p>
      <w:pPr>
        <w:pStyle w:val="Heading2"/>
      </w:pPr>
      <w:r>
        <w:t>Критические ошибки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ключ содержит неверный ответ либо допускает несколько правильных интерпретаций без правила оценивания;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сложное профессиональное решение оценивается только по совпадению одной фразы и не просматривается преподавателем;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настройки полностью раскрывают банк до завершения всех разрешенных попыток;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тест запрашивает или публикует реальные персональные данные без необходимости.</w:t>
      </w:r>
    </w:p>
    <w:p>
      <w:pPr>
        <w:pStyle w:val="Heading1"/>
      </w:pPr>
      <w:r>
        <w:t>14. Типовые ошибки и признаки слабой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83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Ошибка</w:t>
            </w:r>
          </w:p>
        </w:tc>
        <w:tc>
          <w:tcPr>
            <w:tcW w:type="dxa" w:w="311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Почему снижает качество</w:t>
            </w:r>
          </w:p>
        </w:tc>
        <w:tc>
          <w:tcPr>
            <w:tcW w:type="dxa" w:w="340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Как исправить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Проверяются только определения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Высокий балл не подтверждает применение.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Добавить ситуационные задания выбора и анализа.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Правильный ответ заметно длиннее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Возникает тестовая подсказка.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Сделать варианты сопоставимыми по форме и длине.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Дистракторы абсурдны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Задание проверяет угадывание.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Использовать типичные профессиональные ошибки.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После ответа только «неверно»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Нет обучающей функции контроля.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Дать краткое объяснение принципа и ссылку на раздел.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Случайная выборка без баланса</w:t>
            </w:r>
          </w:p>
        </w:tc>
        <w:tc>
          <w:tcPr>
            <w:tcW w:type="dxa" w:w="311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Разные попытки имеют разную сложность.</w:t>
            </w:r>
          </w:p>
        </w:tc>
        <w:tc>
          <w:tcPr>
            <w:tcW w:type="dxa" w:w="340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Разделить банк по категориям и квотам.</w:t>
            </w:r>
          </w:p>
        </w:tc>
      </w:tr>
    </w:tbl>
    <w:p>
      <w:pPr>
        <w:spacing w:after="0"/>
      </w:pPr>
    </w:p>
    <w:p>
      <w:pPr>
        <w:pStyle w:val="Heading1"/>
      </w:pPr>
      <w:r>
        <w:t>15. Методические рекомендации слушателю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Сначала заполните спецификацию, затем пишите задания; обратный порядок почти всегда дает перекос банка.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Один вопрос должен проверять один основной объект, если комплексность не является намеренной частью кейса.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Используйте ошибки из практики как основу дистракторов, но не превращайте их в ловушки.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Автоматизируйте только то, для чего можно заранее определить однозначный проверяемый признак.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Планируйте обратную связь на уровне ответа и темы, а не только итогового процента.</w:t>
      </w:r>
    </w:p>
    <w:p>
      <w:pPr>
        <w:pStyle w:val="ListBullet"/>
        <w:spacing w:after="60"/>
        <w:ind w:firstLine="0" w:left="425"/>
      </w:pPr>
      <w:r>
        <w:rPr>
          <w:rFonts w:ascii="Times New Roman" w:hAnsi="Times New Roman" w:eastAsia="Times New Roman"/>
          <w:b w:val="0"/>
          <w:i w:val="0"/>
        </w:rPr>
        <w:t>После запуска анализируйте долю правильных ответов, частоту выбора дистракторов и вопросы слушателей.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Принцип андрагогики.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Взрослый слушатель должен видеть профессиональную задачу, критерии успеха, возможность применить собственный опыт, получить своевременную обратную связь и перенести результат в практику.</w:t>
            </w:r>
          </w:p>
        </w:tc>
      </w:tr>
    </w:tbl>
    <w:p>
      <w:pPr>
        <w:spacing w:after="0"/>
      </w:pPr>
    </w:p>
    <w:p>
      <w:pPr>
        <w:pStyle w:val="Heading1"/>
      </w:pPr>
      <w:r>
        <w:t>16. Чек-лист самопроверки перед сдачей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56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№</w:t>
            </w:r>
          </w:p>
        </w:tc>
        <w:tc>
          <w:tcPr>
            <w:tcW w:type="dxa" w:w="720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Контрольный вопрос</w:t>
            </w:r>
          </w:p>
        </w:tc>
        <w:tc>
          <w:tcPr>
            <w:tcW w:type="dxa" w:w="215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8"/>
              </w:rPr>
              <w:t>Да / нет / требуется доработка</w:t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Все результаты обучения представлены в спецификации.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Сумма заданий и баллов совпадает во всех таблицах.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Есть минимум четыре типа заданий.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Ситуационные задания составляют существенную часть банка.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У каждого задания есть однозначный ключ и пояснение.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Частичный балл описан явно.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Настройки попыток и показа ответов не противоречат цели контроля.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Автоматизация не подменяет экспертную оценку сложного продукта.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Предусмотрены доступность и технический резерв.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cantSplit/>
        </w:trPr>
        <w:tc>
          <w:tcPr>
            <w:tcW w:type="dxa" w:w="56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72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>Есть план корректировки неработающих заданий после анализа статистики.</w:t>
            </w:r>
          </w:p>
        </w:tc>
        <w:tc>
          <w:tcPr>
            <w:tcW w:type="dxa" w:w="215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17. Вывод, который должен сформулировать слушатель</w:t>
      </w:r>
    </w:p>
    <w:p>
      <w:pPr>
        <w:ind w:firstLine="567"/>
        <w:jc w:val="both"/>
      </w:pPr>
      <w:r>
        <w:rPr>
          <w:rFonts w:ascii="Times New Roman" w:hAnsi="Times New Roman" w:eastAsia="Times New Roman"/>
          <w:b w:val="0"/>
          <w:i w:val="0"/>
        </w:rPr>
        <w:t>Объясните, почему ваш онлайн-тест позволяет делать вывод о достижении результатов обучения, а не только о запоминании. Назовите границу автоматизации: какие элементы можно проверить системой, а какие требуют преподавателя. Опишите решение, которое будет принято, если конкретное задание окажется слишком легким, слишком трудным или двусмысленным.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9"/>
      </w:tblGrid>
      <w:tr>
        <w:tc>
          <w:tcPr>
            <w:tcW w:type="dxa" w:w="9639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color w:val="1F4E78"/>
              </w:rPr>
              <w:t xml:space="preserve">Объем вывода. </w:t>
            </w:r>
            <w:r>
              <w:rPr>
                <w:rFonts w:ascii="Times New Roman" w:hAnsi="Times New Roman" w:eastAsia="Times New Roman"/>
                <w:b w:val="0"/>
                <w:i w:val="0"/>
              </w:rPr>
              <w:t>Ориентировочно 120-200 слов. Вывод должен содержать не пересказ задания, а оценку принятых решений, ожидаемого эффекта, ограничений и способа проверки результата.</w:t>
            </w:r>
          </w:p>
        </w:tc>
      </w:tr>
    </w:tbl>
    <w:p>
      <w:pPr>
        <w:spacing w:after="0"/>
      </w:pPr>
    </w:p>
    <w:p>
      <w:pPr>
        <w:pStyle w:val="Heading1"/>
      </w:pPr>
      <w:r>
        <w:t>18. Приложения и рабочие шаблоны</w:t>
      </w:r>
    </w:p>
    <w:p>
      <w:pPr>
        <w:pStyle w:val="Heading2"/>
      </w:pPr>
      <w:r>
        <w:t>Приложение 1. Спецификация онлайн-теста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  <w:cantSplit/>
        </w:trPr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Содержание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Уровень</w:t>
            </w:r>
          </w:p>
        </w:tc>
        <w:tc>
          <w:tcPr>
            <w:tcW w:type="dxa" w:w="153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24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Кол-во</w:t>
            </w:r>
          </w:p>
        </w:tc>
        <w:tc>
          <w:tcPr>
            <w:tcW w:type="dxa" w:w="1134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6"/>
              </w:rPr>
              <w:t>Баллы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Р1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понимание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Р2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применение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Р3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применение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Р4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анализ</w:t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Итого</w:t>
            </w:r>
          </w:p>
        </w:tc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53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type="dxa" w:w="124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15-20</w:t>
            </w:r>
          </w:p>
        </w:tc>
        <w:tc>
          <w:tcPr>
            <w:tcW w:type="dxa" w:w="113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6"/>
              </w:rPr>
              <w:t>100%</w:t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2. Карточка тестового задания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317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180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Заполнение</w:t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Код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Проверяемый результат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Уровень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Тип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Формулировка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Варианты / ожидаемый ответ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Ключ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Баллы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 при верном ответе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Обратная связь при ошибке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317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Источник / раздел</w:t>
            </w:r>
          </w:p>
        </w:tc>
        <w:tc>
          <w:tcPr>
            <w:tcW w:type="dxa" w:w="61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3. Карта настроек теста в LMS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260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Параметр</w:t>
            </w:r>
          </w:p>
        </w:tc>
        <w:tc>
          <w:tcPr>
            <w:tcW w:type="dxa" w:w="2665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Решение</w:t>
            </w:r>
          </w:p>
        </w:tc>
        <w:tc>
          <w:tcPr>
            <w:tcW w:type="dxa" w:w="4082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Категории банка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Случайная выборка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Порядок вопросов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Время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Попытки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Метод оценки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Показ результатов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Пароль / идентификация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Доступность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Технический сбой</w:t>
            </w:r>
          </w:p>
        </w:tc>
        <w:tc>
          <w:tcPr>
            <w:tcW w:type="dxa" w:w="2665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408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Приложение 4. Посттестовый анализ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/>
        </w:trPr>
        <w:tc>
          <w:tcPr>
            <w:tcW w:type="dxa" w:w="136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Код</w:t>
            </w:r>
          </w:p>
        </w:tc>
        <w:tc>
          <w:tcPr>
            <w:tcW w:type="dxa" w:w="1417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Доля верных</w:t>
            </w:r>
          </w:p>
        </w:tc>
        <w:tc>
          <w:tcPr>
            <w:tcW w:type="dxa" w:w="2041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Частый дистрактор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Наблюдение</w:t>
            </w:r>
          </w:p>
        </w:tc>
        <w:tc>
          <w:tcPr>
            <w:tcW w:type="dxa" w:w="2268"/>
            <w:shd w:fill="1F4E7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Решение</w:t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Т6.03-01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Т6.03-02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Т6.03-03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  <w:tr>
        <w:trPr>
          <w:cantSplit/>
        </w:trPr>
        <w:tc>
          <w:tcPr>
            <w:tcW w:type="dxa" w:w="136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  <w:t>…</w:t>
            </w:r>
          </w:p>
        </w:tc>
        <w:tc>
          <w:tcPr>
            <w:tcW w:type="dxa" w:w="141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041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  <w:tc>
          <w:tcPr>
            <w:tcW w:type="dxa" w:w="22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8FBFD"/>
          </w:tcPr>
          <w:p>
            <w:pPr>
              <w:spacing w:after="0"/>
              <w:ind w:firstLine="0"/>
              <w:jc w:val="left"/>
            </w:pPr>
            <w:r>
              <w:rPr>
                <w:rFonts w:ascii="Times New Roman" w:hAnsi="Times New Roman"/>
                <w:sz w:val="17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Страница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Times New Roman" w:hAnsi="Times New Roman"/>
        <w:color w:val="6B6B6B"/>
        <w:sz w:val="17"/>
      </w:rPr>
      <w:t>ООО «Экспальянс» | Преподаватель ДПО — 520 ч. | Практическая работа 6.3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6.3. Разработка онлайн-теста и задания с автоматической проверкой</dc:title>
  <dc:subject>Модуль 6. Цифровая образовательная среда, электронное обучение и дистанционные образовательные технологии</dc:subject>
  <dc:creator>ООО «Экспальянс»</dc:creator>
  <cp:keywords>ДПО, электронное обучение, дистанционные образовательные технологии, LMS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