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0921A" w14:textId="4EB0CCC3" w:rsidR="00C27E7C" w:rsidRDefault="00C27E7C">
      <w:r>
        <w:t>Am</w:t>
      </w:r>
      <w:r w:rsidR="00BD1F4A">
        <w:t>erican</w:t>
      </w:r>
      <w:r>
        <w:t xml:space="preserve"> Ent</w:t>
      </w:r>
      <w:r w:rsidR="00BD1F4A">
        <w:t>omologist</w:t>
      </w:r>
      <w:r>
        <w:t xml:space="preserve"> Long-term data article</w:t>
      </w:r>
    </w:p>
    <w:p w14:paraId="63B6F9D4" w14:textId="77777777" w:rsidR="00C27E7C" w:rsidRDefault="00C27E7C"/>
    <w:p w14:paraId="67AB46DB" w14:textId="59507545" w:rsidR="00AE1DE1" w:rsidRDefault="00AE1DE1">
      <w:r>
        <w:t>Draft Titles</w:t>
      </w:r>
    </w:p>
    <w:p w14:paraId="2EA0F0C9" w14:textId="4327C487" w:rsidR="0071436F" w:rsidRDefault="00C27E7C">
      <w:r>
        <w:t>Lessons from</w:t>
      </w:r>
      <w:r w:rsidRPr="00C27E7C">
        <w:t xml:space="preserve"> long</w:t>
      </w:r>
      <w:r>
        <w:t>-</w:t>
      </w:r>
      <w:r w:rsidRPr="00C27E7C">
        <w:t>term insect monitoring data</w:t>
      </w:r>
    </w:p>
    <w:p w14:paraId="50269990" w14:textId="39821D9C" w:rsidR="00C27E7C" w:rsidRDefault="00C27E7C">
      <w:r>
        <w:t xml:space="preserve">Unexpected insights from </w:t>
      </w:r>
      <w:r w:rsidRPr="00C27E7C">
        <w:t>long</w:t>
      </w:r>
      <w:r>
        <w:t>-</w:t>
      </w:r>
      <w:r w:rsidRPr="00C27E7C">
        <w:t>term insect monitoring data</w:t>
      </w:r>
    </w:p>
    <w:p w14:paraId="12FAF1DB" w14:textId="401D2B23" w:rsidR="00C27E7C" w:rsidRDefault="00C27E7C"/>
    <w:p w14:paraId="694D5F31" w14:textId="77777777" w:rsidR="00FE2A25" w:rsidRDefault="00FE2A25"/>
    <w:p w14:paraId="221EE129" w14:textId="6FAC4036" w:rsidR="00FE2A25" w:rsidRPr="00FF2B3C" w:rsidRDefault="00BD1F4A">
      <w:pPr>
        <w:rPr>
          <w:b/>
          <w:bCs/>
        </w:rPr>
      </w:pPr>
      <w:r w:rsidRPr="00FF2B3C">
        <w:rPr>
          <w:b/>
          <w:bCs/>
        </w:rPr>
        <w:t>Introduction</w:t>
      </w:r>
    </w:p>
    <w:p w14:paraId="3E283C9F" w14:textId="7236C5CE" w:rsidR="00BD1F4A" w:rsidRDefault="00BD1F4A" w:rsidP="00BD1F4A">
      <w:pPr>
        <w:pStyle w:val="ListParagraph"/>
        <w:numPr>
          <w:ilvl w:val="0"/>
          <w:numId w:val="2"/>
        </w:numPr>
      </w:pPr>
      <w:r>
        <w:t>History of KBS LTER and selection of</w:t>
      </w:r>
      <w:r w:rsidR="00476697">
        <w:t xml:space="preserve"> Coccinellids as t</w:t>
      </w:r>
      <w:r w:rsidR="00476697" w:rsidRPr="00476697">
        <w:t>he study organism</w:t>
      </w:r>
      <w:r>
        <w:t xml:space="preserve"> </w:t>
      </w:r>
    </w:p>
    <w:p w14:paraId="6C6F15AA" w14:textId="77777777" w:rsidR="00476697" w:rsidRPr="00FF2B3C" w:rsidRDefault="00476697">
      <w:pPr>
        <w:rPr>
          <w:b/>
          <w:bCs/>
        </w:rPr>
      </w:pPr>
      <w:r w:rsidRPr="00FF2B3C">
        <w:rPr>
          <w:b/>
          <w:bCs/>
        </w:rPr>
        <w:t>Key lessons</w:t>
      </w:r>
    </w:p>
    <w:p w14:paraId="02A1CE3E" w14:textId="26B7FD9F" w:rsidR="00BD1F4A" w:rsidRDefault="00476697" w:rsidP="00476697">
      <w:pPr>
        <w:pStyle w:val="ListParagraph"/>
        <w:numPr>
          <w:ilvl w:val="0"/>
          <w:numId w:val="2"/>
        </w:numPr>
      </w:pPr>
      <w:r>
        <w:t>Arrival of invasive species</w:t>
      </w:r>
      <w:r w:rsidR="00A572F2">
        <w:t xml:space="preserve"> </w:t>
      </w:r>
      <w:r w:rsidR="00A572F2">
        <w:fldChar w:fldCharType="begin"/>
      </w:r>
      <w:r w:rsidR="00A572F2">
        <w:instrText xml:space="preserve"> ADDIN ZOTERO_ITEM CSL_CITATION {"citationID":"pWdP8ipA","properties":{"formattedCitation":"[1,2]","plainCitation":"[1,2]","noteIndex":0},"citationItems":[{"id":114,"uris":["http://zotero.org/users/3015424/items/SSBJBPQW"],"itemData":{"id":114,"type":"article-journal","abstract":"Changes in species assemblages of predatory coccinellids in response to landscape structure (habitat diversity and patchiness) was studied in a southern Michigan landscape during 1989-1990. Three sites with different mosaics of cultivated (alfalfa, corn, wheat) and uncultivated (deciduous, field succession) habitats were sampled for coccinellid species using yellow sticky traps. The landscape at each site was characterized using the Berger-Parker index for habitat diversity and a relative patchiness index for habitat fragmentation. Relative abundance, species richness, species dominance, and the Kendall coefficient were used to analyze and compare species assemblages among sites. Principal component analysis (PCA) was used to extract factor components per species and site scores, which were compared with landscape indices using the Pearson correlation coefficient. Thirteen species of coccinellids were captured during the 2 yr of weekly sampling. Of these species, &lt;I&gt;Coccinella septempunctata&lt;/I&gt; (L.) was the dominant species in the landscape and was equally abundant in the 3 sites. &lt;I&gt;Coleomegilla maculata lengi&lt;/I&gt; Timberlake was more abundant in the site that had a corn habitat, whereas &lt;I&gt;Cycloneda munda&lt;/I&gt; (Say), &lt;I&gt;Chilocorus stigma&lt;/I&gt; (Say), and &lt;I&gt;Brachiacantha ursina&lt;/I&gt; (F.) were more abundant in the site that had a deciduous habitat. Overall, the site with a deciduous habitat had higher species richness. There were significant differences in species composition between the site with a deciduous habitat and the other 2 sites. Differences observed among sites were significantly correlated with the presence of uncultivated habitats in the landscape.","container-title":"Environmental Entomology","issue":"4","page":"797-804","title":"Response of an assemblage of Coccinellidae (Coleoptera) to a diverse agricultural landscape","title-short":"Response of an assemblage of Coccinellidae (Coleoptera) to a diverse agricultural landscape","volume":"26","author":[{"family":"Colunga-Garcia","given":"Manuel"},{"family":"Gage","given":"Stuart H."},{"family":"Landis","given":"Douglas A."}],"issued":{"date-parts":[["1997"]]}}},{"id":675,"uris":["http://zotero.org/users/3015424/items/BDFDB679"],"itemData":{"id":675,"type":"article-journal","container-title":"Environmental Entomology","issue":"6","page":"1574-1580","title":"Arrival, establishment, and habitat use of the multicolored Asian lady beetle (Coleoptera: Coccinellidae) in a Michigan landscape","title-short":"Arrival, establishment, and habitat use of the multicolored Asian lady beetle (Coleoptera: Coccinellidae) in a Michigan landscape","volume":"27","author":[{"family":"Colunga-Garcia","given":"M."},{"family":"Gage","given":"S.H."}],"issued":{"date-parts":[["1998"]]}}}],"schema":"https://github.com/citation-style-language/schema/raw/master/csl-citation.json"} </w:instrText>
      </w:r>
      <w:r w:rsidR="00A572F2">
        <w:fldChar w:fldCharType="separate"/>
      </w:r>
      <w:r w:rsidR="00A572F2" w:rsidRPr="00A572F2">
        <w:rPr>
          <w:rFonts w:ascii="Calibri" w:hAnsi="Calibri" w:cs="Calibri"/>
        </w:rPr>
        <w:t>[1,2]</w:t>
      </w:r>
      <w:r w:rsidR="00A572F2">
        <w:fldChar w:fldCharType="end"/>
      </w:r>
    </w:p>
    <w:p w14:paraId="48FE5369" w14:textId="1960326D" w:rsidR="00476697" w:rsidRDefault="00476697" w:rsidP="00476697">
      <w:pPr>
        <w:pStyle w:val="ListParagraph"/>
        <w:numPr>
          <w:ilvl w:val="0"/>
          <w:numId w:val="2"/>
        </w:numPr>
      </w:pPr>
      <w:r>
        <w:t xml:space="preserve">Impacts of exotics on native </w:t>
      </w:r>
      <w:r w:rsidR="00AE1DE1">
        <w:t>communities</w:t>
      </w:r>
    </w:p>
    <w:p w14:paraId="5C71D90A" w14:textId="540E3660" w:rsidR="00AE1DE1" w:rsidRDefault="001F6DA7" w:rsidP="00476697">
      <w:pPr>
        <w:pStyle w:val="ListParagraph"/>
        <w:numPr>
          <w:ilvl w:val="0"/>
          <w:numId w:val="2"/>
        </w:numPr>
      </w:pPr>
      <w:r>
        <w:t xml:space="preserve">Harmonia </w:t>
      </w:r>
      <w:r w:rsidR="00091A07">
        <w:t>dynamics and drivers</w:t>
      </w:r>
      <w:r w:rsidR="00A572F2">
        <w:t xml:space="preserve"> </w:t>
      </w:r>
      <w:r w:rsidR="00A572F2">
        <w:fldChar w:fldCharType="begin"/>
      </w:r>
      <w:r w:rsidR="00A572F2">
        <w:instrText xml:space="preserve"> ADDIN ZOTERO_ITEM CSL_CITATION {"citationID":"DNprZ0nb","properties":{"formattedCitation":"[3]","plainCitation":"[3]","noteIndex":0},"citationItems":[{"id":218,"uris":["http://zotero.org/users/3015424/items/S54CRNH6"],"itemData":{"id":218,"type":"article-journal","container-title":"PLoS One","DOI":"10.1371/journal.pone.0083407","issue":"12","page":"e83407","title":"Long term functional dynamics of an aphidophagous coccinellid community are unchanged in response to repeated invasion","title-short":"Long term functional dynamics of an aphidophagous coccinellid community are unchanged in response to repeated invasion","volume":"8","author":[{"family":"Bahlai","given":"Christine A"},{"family":"Colunga-Garcia","given":"Manuel"},{"family":"Gage","given":"Stuart H."},{"family":"Landis","given":"Douglas A."}],"issued":{"date-parts":[["2013"]]}}}],"schema":"https://github.com/citation-style-language/schema/raw/master/csl-citation.json"} </w:instrText>
      </w:r>
      <w:r w:rsidR="00A572F2">
        <w:fldChar w:fldCharType="separate"/>
      </w:r>
      <w:r w:rsidR="00A572F2" w:rsidRPr="00A572F2">
        <w:rPr>
          <w:rFonts w:ascii="Calibri" w:hAnsi="Calibri" w:cs="Calibri"/>
        </w:rPr>
        <w:t>[3]</w:t>
      </w:r>
      <w:r w:rsidR="00A572F2">
        <w:fldChar w:fldCharType="end"/>
      </w:r>
    </w:p>
    <w:p w14:paraId="39942ED4" w14:textId="2DF1A18E" w:rsidR="00091A07" w:rsidRDefault="00091A07" w:rsidP="00476697">
      <w:pPr>
        <w:pStyle w:val="ListParagraph"/>
        <w:numPr>
          <w:ilvl w:val="0"/>
          <w:numId w:val="2"/>
        </w:numPr>
      </w:pPr>
      <w:r>
        <w:t xml:space="preserve">Length of time to </w:t>
      </w:r>
      <w:r w:rsidR="00882617">
        <w:t>assess</w:t>
      </w:r>
      <w:r>
        <w:t xml:space="preserve"> significant population trends</w:t>
      </w:r>
    </w:p>
    <w:p w14:paraId="0BEDE797" w14:textId="3429905E" w:rsidR="00091A07" w:rsidRDefault="00091A07" w:rsidP="00476697">
      <w:pPr>
        <w:pStyle w:val="ListParagraph"/>
        <w:numPr>
          <w:ilvl w:val="0"/>
          <w:numId w:val="2"/>
        </w:numPr>
      </w:pPr>
      <w:r>
        <w:t>Current widespread declines</w:t>
      </w:r>
    </w:p>
    <w:p w14:paraId="1CF0831E" w14:textId="08522E85" w:rsidR="00091A07" w:rsidRPr="00FF2B3C" w:rsidRDefault="00091A07" w:rsidP="00091A07">
      <w:pPr>
        <w:rPr>
          <w:b/>
          <w:bCs/>
        </w:rPr>
      </w:pPr>
      <w:r w:rsidRPr="00FF2B3C">
        <w:rPr>
          <w:b/>
          <w:bCs/>
        </w:rPr>
        <w:t>Serendipitous</w:t>
      </w:r>
      <w:r w:rsidR="00882617" w:rsidRPr="00FF2B3C">
        <w:rPr>
          <w:b/>
          <w:bCs/>
        </w:rPr>
        <w:t>/unforeseen data uses</w:t>
      </w:r>
    </w:p>
    <w:p w14:paraId="0F5306CB" w14:textId="29CF956F" w:rsidR="00091A07" w:rsidRDefault="00091A07" w:rsidP="00091A07">
      <w:pPr>
        <w:pStyle w:val="ListParagraph"/>
        <w:numPr>
          <w:ilvl w:val="0"/>
          <w:numId w:val="4"/>
        </w:numPr>
      </w:pPr>
      <w:r>
        <w:t>Fireflies</w:t>
      </w:r>
    </w:p>
    <w:p w14:paraId="1BA49CCB" w14:textId="6D04DD3F" w:rsidR="00882617" w:rsidRDefault="00882617" w:rsidP="00091A07">
      <w:pPr>
        <w:pStyle w:val="ListParagraph"/>
        <w:numPr>
          <w:ilvl w:val="0"/>
          <w:numId w:val="4"/>
        </w:numPr>
      </w:pPr>
      <w:r>
        <w:t>Cycling of HA and C7</w:t>
      </w:r>
    </w:p>
    <w:p w14:paraId="6EA8AEC6" w14:textId="767DFE07" w:rsidR="00FF2B3C" w:rsidRDefault="00FF2B3C" w:rsidP="00FF2B3C">
      <w:pPr>
        <w:pStyle w:val="ListParagraph"/>
        <w:numPr>
          <w:ilvl w:val="0"/>
          <w:numId w:val="4"/>
        </w:numPr>
      </w:pPr>
      <w:r>
        <w:t>List of papers that use LTER Coccinellid data</w:t>
      </w:r>
    </w:p>
    <w:p w14:paraId="31C1AF7A" w14:textId="77777777" w:rsidR="00297666" w:rsidRPr="00FF2B3C" w:rsidRDefault="00297666" w:rsidP="00297666">
      <w:pPr>
        <w:rPr>
          <w:b/>
          <w:bCs/>
        </w:rPr>
      </w:pPr>
      <w:r w:rsidRPr="00FF2B3C">
        <w:rPr>
          <w:b/>
          <w:bCs/>
        </w:rPr>
        <w:t>Other metrics</w:t>
      </w:r>
    </w:p>
    <w:p w14:paraId="1BDD90E9" w14:textId="77777777" w:rsidR="00182C57" w:rsidRDefault="00182C57" w:rsidP="00297666">
      <w:pPr>
        <w:pStyle w:val="ListParagraph"/>
        <w:numPr>
          <w:ilvl w:val="0"/>
          <w:numId w:val="4"/>
        </w:numPr>
      </w:pPr>
      <w:r>
        <w:t>International and other collaborations spawned</w:t>
      </w:r>
    </w:p>
    <w:p w14:paraId="3523D286" w14:textId="411348D3" w:rsidR="00297666" w:rsidRDefault="00297666" w:rsidP="00297666">
      <w:pPr>
        <w:pStyle w:val="ListParagraph"/>
        <w:numPr>
          <w:ilvl w:val="0"/>
          <w:numId w:val="4"/>
        </w:numPr>
      </w:pPr>
      <w:r>
        <w:t>Citations of Coccinellid studies</w:t>
      </w:r>
    </w:p>
    <w:p w14:paraId="3A5030E0" w14:textId="77777777" w:rsidR="00297666" w:rsidRDefault="00297666" w:rsidP="00297666">
      <w:pPr>
        <w:pStyle w:val="ListParagraph"/>
        <w:numPr>
          <w:ilvl w:val="0"/>
          <w:numId w:val="4"/>
        </w:numPr>
      </w:pPr>
      <w:r>
        <w:t xml:space="preserve">Training of </w:t>
      </w:r>
      <w:proofErr w:type="spellStart"/>
      <w:r>
        <w:t>ugrad</w:t>
      </w:r>
      <w:proofErr w:type="spellEnd"/>
      <w:r>
        <w:t xml:space="preserve"> techs</w:t>
      </w:r>
    </w:p>
    <w:p w14:paraId="39B2CF8A" w14:textId="47AD18D5" w:rsidR="00091A07" w:rsidRDefault="00297666" w:rsidP="00091A07">
      <w:pPr>
        <w:pStyle w:val="ListParagraph"/>
        <w:numPr>
          <w:ilvl w:val="0"/>
          <w:numId w:val="4"/>
        </w:numPr>
      </w:pPr>
      <w:r>
        <w:t>Use as an REU/internship project</w:t>
      </w:r>
      <w:r w:rsidR="00A572F2">
        <w:fldChar w:fldCharType="begin"/>
      </w:r>
      <w:r w:rsidR="00A572F2">
        <w:instrText xml:space="preserve"> ADDIN ZOTERO_ITEM CSL_CITATION {"citationID":"NRfGO0TX","properties":{"formattedCitation":"[4]","plainCitation":"[4]","noteIndex":0},"citationItems":[{"id":2988,"uris":["http://zotero.org/users/3015424/items/TPJYM7C7"],"itemData":{"id":2988,"type":"article-journal","abstract":"Species may benefit from green infrastructure, i.e. the network of natural and anthropogenic habitat remnants in human-dominated landscapes, if it helps isolated populations in remaining habitat patches to be functionally connected. The importance of green infrastructure is therefore increasingly emphasized in conservation policy to counter biodiversity loss. However, there is limited evidence, particularly in plants, that green infrastructure promotes functional connectivity, i.e. supports the colonization of habitat patches across a landscape. We applied landscape genetics to test whether the green infrastructure supports structural and functional connectivity in the grassland perennial Galium verum, in 35 landscapes in Belgium, Germany and Sweden. We used multivariate genetic clustering techniques, nestedness analyses and conditional inference trees to examine landscape-scale patterns in genetic diversity and structure of plant populations in the green infrastructure surrounding semi-natural grasslands. Inferred functional connectivity explained genetic variation better than structural connectivity, yielding positive effects on genetic variation. The road verge network, a major structural component of the green infrastructure and its functional connectivity, most effectively explained genetic diversity and composition in G. verum. Galium verum ramets occupying the surrounding landscape proved to be genetic subsets of focal grassland populations, shaping a nested landscape population genetic structure with focal grasslands, particularly ancient ones, harbouring unique genetic diversity. This nested pattern weakened as road network density increased, suggesting road verge networks enable high landscape occupancy by increased habitat availability and facilitates gene flow into the surrounding landscape. Our study proposes that green infrastructure can promote functional connectivity, providing that a plant species can survive outside of core habitat patches. As this often excludes habitat specialist species, conservation practice and policy should primarily focus on ancient, managed semi-natural grasslands. These grasslands both harbour unique genetic diversity and act as primary gene and propagule sources for the surrounding landscape, highlighting their conservation value.","container-title":"Ecography","DOI":"10.1111/ecog.06290","ISSN":"0906-7590","issue":"n/a","journalAbbreviation":"Ecography","note":"publisher: John Wiley &amp; Sons, Ltd","page":"e06290","title":"Green infrastructure can promote plant functional connectivity in a grassland species around fragmented semi-natural grasslands in NW-Europe","volume":"n/a","author":[{"family":"Plue","given":"Jan"},{"family":"Kimberley","given":"Adam"},{"family":"Bullock","given":"James M."},{"family":"Hellemans","given":"Bart"},{"family":"Hooftman","given":"Danny A. P."},{"family":"Krickl","given":"Patricia"},{"family":"Leus","given":"Leen"},{"family":"Peeters","given":"Gerrit"},{"family":"Poschlod","given":"Peter"},{"family":"Traveset","given":"Anna"},{"family":"Volckaert","given":"Filip"},{"family":"Cousins","given":"Sara A. O."},{"family":"Honnay","given":"Olivier"}],"issued":{"date-parts":[["2022",9,7]]}}}],"schema":"https://github.com/citation-style-language/schema/raw/master/csl-citation.json"} </w:instrText>
      </w:r>
      <w:r w:rsidR="00A572F2">
        <w:fldChar w:fldCharType="separate"/>
      </w:r>
      <w:r w:rsidR="00A572F2" w:rsidRPr="00A572F2">
        <w:rPr>
          <w:rFonts w:ascii="Calibri" w:hAnsi="Calibri" w:cs="Calibri"/>
        </w:rPr>
        <w:t>[4]</w:t>
      </w:r>
      <w:r w:rsidR="00A572F2">
        <w:fldChar w:fldCharType="end"/>
      </w:r>
      <w:bookmarkStart w:id="0" w:name="_GoBack"/>
      <w:bookmarkEnd w:id="0"/>
    </w:p>
    <w:p w14:paraId="49A8B90F" w14:textId="77777777" w:rsidR="00FE2A25" w:rsidRPr="00FF2B3C" w:rsidRDefault="00FE2A25">
      <w:pPr>
        <w:rPr>
          <w:b/>
          <w:bCs/>
        </w:rPr>
      </w:pPr>
      <w:r w:rsidRPr="00FF2B3C">
        <w:rPr>
          <w:b/>
          <w:bCs/>
        </w:rPr>
        <w:t>Other considerations</w:t>
      </w:r>
    </w:p>
    <w:p w14:paraId="4E21DA83" w14:textId="6E27E765" w:rsidR="00FE2A25" w:rsidRDefault="00FE2A25" w:rsidP="00FE2A25">
      <w:pPr>
        <w:pStyle w:val="ListParagraph"/>
        <w:numPr>
          <w:ilvl w:val="0"/>
          <w:numId w:val="1"/>
        </w:numPr>
      </w:pPr>
      <w:r>
        <w:t>Data Integrity</w:t>
      </w:r>
      <w:r w:rsidR="00AE1DE1">
        <w:t xml:space="preserve"> (training the techs</w:t>
      </w:r>
      <w:r w:rsidR="001F6DA7">
        <w:t xml:space="preserve">) </w:t>
      </w:r>
    </w:p>
    <w:p w14:paraId="3A0CA99E" w14:textId="0401A4F4" w:rsidR="00C27E7C" w:rsidRDefault="00FE2A25" w:rsidP="00FE2A25">
      <w:pPr>
        <w:pStyle w:val="ListParagraph"/>
        <w:numPr>
          <w:ilvl w:val="0"/>
          <w:numId w:val="1"/>
        </w:numPr>
      </w:pPr>
      <w:r>
        <w:t>Data access</w:t>
      </w:r>
    </w:p>
    <w:p w14:paraId="20EA583D" w14:textId="7E31BFB6" w:rsidR="00FE2A25" w:rsidRDefault="00FE2A25" w:rsidP="00FE2A25">
      <w:pPr>
        <w:pStyle w:val="ListParagraph"/>
        <w:numPr>
          <w:ilvl w:val="0"/>
          <w:numId w:val="1"/>
        </w:numPr>
      </w:pPr>
      <w:r>
        <w:t>Succession planning</w:t>
      </w:r>
    </w:p>
    <w:p w14:paraId="127C27D2" w14:textId="77777777" w:rsidR="00A572F2" w:rsidRPr="00A572F2" w:rsidRDefault="00A572F2" w:rsidP="00A572F2">
      <w:pPr>
        <w:pStyle w:val="Bibliography"/>
        <w:rPr>
          <w:rFonts w:ascii="Calibri" w:hAnsi="Calibri" w:cs="Calibri"/>
        </w:rPr>
      </w:pPr>
      <w:r>
        <w:fldChar w:fldCharType="begin"/>
      </w:r>
      <w:r>
        <w:instrText xml:space="preserve"> ADDIN ZOTERO_BIBL {"uncited":[],"omitted":[],"custom":[]} CSL_BIBLIOGRAPHY </w:instrText>
      </w:r>
      <w:r>
        <w:fldChar w:fldCharType="separate"/>
      </w:r>
      <w:r w:rsidRPr="00A572F2">
        <w:rPr>
          <w:rFonts w:ascii="Calibri" w:hAnsi="Calibri" w:cs="Calibri"/>
        </w:rPr>
        <w:t xml:space="preserve">1. </w:t>
      </w:r>
      <w:r w:rsidRPr="00A572F2">
        <w:rPr>
          <w:rFonts w:ascii="Calibri" w:hAnsi="Calibri" w:cs="Calibri"/>
        </w:rPr>
        <w:tab/>
      </w:r>
      <w:proofErr w:type="spellStart"/>
      <w:r w:rsidRPr="00A572F2">
        <w:rPr>
          <w:rFonts w:ascii="Calibri" w:hAnsi="Calibri" w:cs="Calibri"/>
        </w:rPr>
        <w:t>Colunga</w:t>
      </w:r>
      <w:proofErr w:type="spellEnd"/>
      <w:r w:rsidRPr="00A572F2">
        <w:rPr>
          <w:rFonts w:ascii="Calibri" w:hAnsi="Calibri" w:cs="Calibri"/>
        </w:rPr>
        <w:t xml:space="preserve">-Garcia M, Gage SH, Landis DA. Response of an assemblage of Coccinellidae (Coleoptera) to a diverse agricultural landscape. Environmental Entomology. 1997;26: 797–804. </w:t>
      </w:r>
    </w:p>
    <w:p w14:paraId="40106EAB" w14:textId="77777777" w:rsidR="00A572F2" w:rsidRPr="00A572F2" w:rsidRDefault="00A572F2" w:rsidP="00A572F2">
      <w:pPr>
        <w:pStyle w:val="Bibliography"/>
        <w:rPr>
          <w:rFonts w:ascii="Calibri" w:hAnsi="Calibri" w:cs="Calibri"/>
        </w:rPr>
      </w:pPr>
      <w:r w:rsidRPr="00A572F2">
        <w:rPr>
          <w:rFonts w:ascii="Calibri" w:hAnsi="Calibri" w:cs="Calibri"/>
        </w:rPr>
        <w:t xml:space="preserve">2. </w:t>
      </w:r>
      <w:r w:rsidRPr="00A572F2">
        <w:rPr>
          <w:rFonts w:ascii="Calibri" w:hAnsi="Calibri" w:cs="Calibri"/>
        </w:rPr>
        <w:tab/>
      </w:r>
      <w:proofErr w:type="spellStart"/>
      <w:r w:rsidRPr="00A572F2">
        <w:rPr>
          <w:rFonts w:ascii="Calibri" w:hAnsi="Calibri" w:cs="Calibri"/>
        </w:rPr>
        <w:t>Colunga</w:t>
      </w:r>
      <w:proofErr w:type="spellEnd"/>
      <w:r w:rsidRPr="00A572F2">
        <w:rPr>
          <w:rFonts w:ascii="Calibri" w:hAnsi="Calibri" w:cs="Calibri"/>
        </w:rPr>
        <w:t xml:space="preserve">-Garcia M, Gage SH. Arrival, establishment, and habitat use of the multicolored Asian lady beetle (Coleoptera: Coccinellidae) in a Michigan landscape. Environmental Entomology. 1998;27: 1574–1580. </w:t>
      </w:r>
    </w:p>
    <w:p w14:paraId="5172659F" w14:textId="77777777" w:rsidR="00A572F2" w:rsidRPr="00A572F2" w:rsidRDefault="00A572F2" w:rsidP="00A572F2">
      <w:pPr>
        <w:pStyle w:val="Bibliography"/>
        <w:rPr>
          <w:rFonts w:ascii="Calibri" w:hAnsi="Calibri" w:cs="Calibri"/>
        </w:rPr>
      </w:pPr>
      <w:r w:rsidRPr="00A572F2">
        <w:rPr>
          <w:rFonts w:ascii="Calibri" w:hAnsi="Calibri" w:cs="Calibri"/>
        </w:rPr>
        <w:lastRenderedPageBreak/>
        <w:t xml:space="preserve">3. </w:t>
      </w:r>
      <w:r w:rsidRPr="00A572F2">
        <w:rPr>
          <w:rFonts w:ascii="Calibri" w:hAnsi="Calibri" w:cs="Calibri"/>
        </w:rPr>
        <w:tab/>
        <w:t xml:space="preserve">Bahlai CA, </w:t>
      </w:r>
      <w:proofErr w:type="spellStart"/>
      <w:r w:rsidRPr="00A572F2">
        <w:rPr>
          <w:rFonts w:ascii="Calibri" w:hAnsi="Calibri" w:cs="Calibri"/>
        </w:rPr>
        <w:t>Colunga</w:t>
      </w:r>
      <w:proofErr w:type="spellEnd"/>
      <w:r w:rsidRPr="00A572F2">
        <w:rPr>
          <w:rFonts w:ascii="Calibri" w:hAnsi="Calibri" w:cs="Calibri"/>
        </w:rPr>
        <w:t xml:space="preserve">-Garcia M, Gage SH, Landis DA. Long term functional dynamics of an </w:t>
      </w:r>
      <w:proofErr w:type="spellStart"/>
      <w:r w:rsidRPr="00A572F2">
        <w:rPr>
          <w:rFonts w:ascii="Calibri" w:hAnsi="Calibri" w:cs="Calibri"/>
        </w:rPr>
        <w:t>aphidophagous</w:t>
      </w:r>
      <w:proofErr w:type="spellEnd"/>
      <w:r w:rsidRPr="00A572F2">
        <w:rPr>
          <w:rFonts w:ascii="Calibri" w:hAnsi="Calibri" w:cs="Calibri"/>
        </w:rPr>
        <w:t xml:space="preserve"> coccinellid community are unchanged in response to repeated invasion. </w:t>
      </w:r>
      <w:proofErr w:type="spellStart"/>
      <w:r w:rsidRPr="00A572F2">
        <w:rPr>
          <w:rFonts w:ascii="Calibri" w:hAnsi="Calibri" w:cs="Calibri"/>
        </w:rPr>
        <w:t>PLoS</w:t>
      </w:r>
      <w:proofErr w:type="spellEnd"/>
      <w:r w:rsidRPr="00A572F2">
        <w:rPr>
          <w:rFonts w:ascii="Calibri" w:hAnsi="Calibri" w:cs="Calibri"/>
        </w:rPr>
        <w:t xml:space="preserve"> One. 2013;8: e83407. doi:10.1371/journal.pone.0083407</w:t>
      </w:r>
    </w:p>
    <w:p w14:paraId="2CB153E3" w14:textId="77777777" w:rsidR="00A572F2" w:rsidRPr="00A572F2" w:rsidRDefault="00A572F2" w:rsidP="00A572F2">
      <w:pPr>
        <w:pStyle w:val="Bibliography"/>
        <w:rPr>
          <w:rFonts w:ascii="Calibri" w:hAnsi="Calibri" w:cs="Calibri"/>
        </w:rPr>
      </w:pPr>
      <w:r w:rsidRPr="00A572F2">
        <w:rPr>
          <w:rFonts w:ascii="Calibri" w:hAnsi="Calibri" w:cs="Calibri"/>
        </w:rPr>
        <w:t xml:space="preserve">4. </w:t>
      </w:r>
      <w:r w:rsidRPr="00A572F2">
        <w:rPr>
          <w:rFonts w:ascii="Calibri" w:hAnsi="Calibri" w:cs="Calibri"/>
        </w:rPr>
        <w:tab/>
      </w:r>
      <w:proofErr w:type="spellStart"/>
      <w:r w:rsidRPr="00A572F2">
        <w:rPr>
          <w:rFonts w:ascii="Calibri" w:hAnsi="Calibri" w:cs="Calibri"/>
        </w:rPr>
        <w:t>Plue</w:t>
      </w:r>
      <w:proofErr w:type="spellEnd"/>
      <w:r w:rsidRPr="00A572F2">
        <w:rPr>
          <w:rFonts w:ascii="Calibri" w:hAnsi="Calibri" w:cs="Calibri"/>
        </w:rPr>
        <w:t xml:space="preserve"> J, Kimberley A, Bullock JM, </w:t>
      </w:r>
      <w:proofErr w:type="spellStart"/>
      <w:r w:rsidRPr="00A572F2">
        <w:rPr>
          <w:rFonts w:ascii="Calibri" w:hAnsi="Calibri" w:cs="Calibri"/>
        </w:rPr>
        <w:t>Hellemans</w:t>
      </w:r>
      <w:proofErr w:type="spellEnd"/>
      <w:r w:rsidRPr="00A572F2">
        <w:rPr>
          <w:rFonts w:ascii="Calibri" w:hAnsi="Calibri" w:cs="Calibri"/>
        </w:rPr>
        <w:t xml:space="preserve"> B, </w:t>
      </w:r>
      <w:proofErr w:type="spellStart"/>
      <w:r w:rsidRPr="00A572F2">
        <w:rPr>
          <w:rFonts w:ascii="Calibri" w:hAnsi="Calibri" w:cs="Calibri"/>
        </w:rPr>
        <w:t>Hooftman</w:t>
      </w:r>
      <w:proofErr w:type="spellEnd"/>
      <w:r w:rsidRPr="00A572F2">
        <w:rPr>
          <w:rFonts w:ascii="Calibri" w:hAnsi="Calibri" w:cs="Calibri"/>
        </w:rPr>
        <w:t xml:space="preserve"> DAP, </w:t>
      </w:r>
      <w:proofErr w:type="spellStart"/>
      <w:r w:rsidRPr="00A572F2">
        <w:rPr>
          <w:rFonts w:ascii="Calibri" w:hAnsi="Calibri" w:cs="Calibri"/>
        </w:rPr>
        <w:t>Krickl</w:t>
      </w:r>
      <w:proofErr w:type="spellEnd"/>
      <w:r w:rsidRPr="00A572F2">
        <w:rPr>
          <w:rFonts w:ascii="Calibri" w:hAnsi="Calibri" w:cs="Calibri"/>
        </w:rPr>
        <w:t xml:space="preserve"> P, et al. Green infrastructure can promote plant functional connectivity in a grassland species around fragmented semi-natural grasslands in NW-Europe. </w:t>
      </w:r>
      <w:proofErr w:type="spellStart"/>
      <w:r w:rsidRPr="00A572F2">
        <w:rPr>
          <w:rFonts w:ascii="Calibri" w:hAnsi="Calibri" w:cs="Calibri"/>
        </w:rPr>
        <w:t>Ecography</w:t>
      </w:r>
      <w:proofErr w:type="spellEnd"/>
      <w:r w:rsidRPr="00A572F2">
        <w:rPr>
          <w:rFonts w:ascii="Calibri" w:hAnsi="Calibri" w:cs="Calibri"/>
        </w:rPr>
        <w:t>. 2022;n/a: e06290. doi:10.1111/ecog.06290</w:t>
      </w:r>
    </w:p>
    <w:p w14:paraId="5594A4F9" w14:textId="20D9979D" w:rsidR="00882617" w:rsidRDefault="00A572F2" w:rsidP="00882617">
      <w:r>
        <w:fldChar w:fldCharType="end"/>
      </w:r>
    </w:p>
    <w:sectPr w:rsidR="00882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06023"/>
    <w:multiLevelType w:val="hybridMultilevel"/>
    <w:tmpl w:val="B3184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635B11"/>
    <w:multiLevelType w:val="hybridMultilevel"/>
    <w:tmpl w:val="D566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6A2FE3"/>
    <w:multiLevelType w:val="hybridMultilevel"/>
    <w:tmpl w:val="979E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665875"/>
    <w:multiLevelType w:val="hybridMultilevel"/>
    <w:tmpl w:val="919E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7C"/>
    <w:rsid w:val="0002432F"/>
    <w:rsid w:val="00091A07"/>
    <w:rsid w:val="00182C57"/>
    <w:rsid w:val="001F6DA7"/>
    <w:rsid w:val="00297666"/>
    <w:rsid w:val="004601B5"/>
    <w:rsid w:val="00476697"/>
    <w:rsid w:val="00483208"/>
    <w:rsid w:val="00882617"/>
    <w:rsid w:val="00926D74"/>
    <w:rsid w:val="00A572F2"/>
    <w:rsid w:val="00AE1DE1"/>
    <w:rsid w:val="00BD1F4A"/>
    <w:rsid w:val="00C27E7C"/>
    <w:rsid w:val="00D11374"/>
    <w:rsid w:val="00FE2A25"/>
    <w:rsid w:val="00FF2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E29B"/>
  <w15:chartTrackingRefBased/>
  <w15:docId w15:val="{0E582DAC-A6C6-470E-967C-40A2A478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A25"/>
    <w:pPr>
      <w:ind w:left="720"/>
      <w:contextualSpacing/>
    </w:pPr>
  </w:style>
  <w:style w:type="paragraph" w:styleId="BalloonText">
    <w:name w:val="Balloon Text"/>
    <w:basedOn w:val="Normal"/>
    <w:link w:val="BalloonTextChar"/>
    <w:uiPriority w:val="99"/>
    <w:semiHidden/>
    <w:unhideWhenUsed/>
    <w:rsid w:val="00A572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2F2"/>
    <w:rPr>
      <w:rFonts w:ascii="Segoe UI" w:hAnsi="Segoe UI" w:cs="Segoe UI"/>
      <w:sz w:val="18"/>
      <w:szCs w:val="18"/>
    </w:rPr>
  </w:style>
  <w:style w:type="paragraph" w:styleId="Bibliography">
    <w:name w:val="Bibliography"/>
    <w:basedOn w:val="Normal"/>
    <w:next w:val="Normal"/>
    <w:uiPriority w:val="37"/>
    <w:unhideWhenUsed/>
    <w:rsid w:val="00A572F2"/>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Landis, Douglas</dc:creator>
  <cp:keywords/>
  <dc:description/>
  <cp:lastModifiedBy>Bahlai, Christie</cp:lastModifiedBy>
  <cp:revision>2</cp:revision>
  <dcterms:created xsi:type="dcterms:W3CDTF">2022-09-27T17:12:00Z</dcterms:created>
  <dcterms:modified xsi:type="dcterms:W3CDTF">2022-09-27T17:12:00Z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id="nKuZ2M12"/&gt;&lt;style id="http://www.zotero.org/styles/plos-computational-biology" hasBibliography="1" bibliographyStyleHasBeenSet="1"/&gt;&lt;prefs&gt;&lt;pref name="fieldType" value="Field"/&gt;&lt;/prefs&gt;&lt;/data&gt;</vt:lpwstr>
  </property>
</Properties>
</file>