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color w:val="1B3A5F"/>
          <w:sz w:val="52"/>
        </w:rPr>
        <w:t>ABDM V3 — HIP Service API Documentation</w:t>
      </w:r>
    </w:p>
    <w:p>
      <w:pPr>
        <w:jc w:val="center"/>
      </w:pPr>
      <w:r>
        <w:rPr>
          <w:rFonts w:ascii="Calibri" w:hAnsi="Calibri" w:eastAsia="Calibri"/>
          <w:b/>
          <w:color w:val="0D7373"/>
          <w:sz w:val="32"/>
        </w:rPr>
        <w:t>Milestone 3 (M3): Consent and Health Information Exchange</w:t>
      </w:r>
    </w:p>
    <w:p>
      <w:pPr>
        <w:spacing w:after="40"/>
        <w:jc w:val="center"/>
      </w:pPr>
      <w:r>
        <w:rPr>
          <w:rFonts w:ascii="Calibri" w:hAnsi="Calibri" w:eastAsia="Calibri"/>
          <w:b w:val="0"/>
          <w:color w:val="555555"/>
          <w:sz w:val="22"/>
        </w:rPr>
        <w:t>Service: hip-service (In.ProjectEKA.HipService) acting as HIP / data provider</w:t>
      </w:r>
    </w:p>
    <w:p>
      <w:pPr>
        <w:spacing w:after="40"/>
        <w:jc w:val="center"/>
      </w:pPr>
      <w:r>
        <w:rPr>
          <w:rFonts w:ascii="Calibri" w:hAnsi="Calibri" w:eastAsia="Calibri"/>
          <w:b w:val="0"/>
          <w:color w:val="555555"/>
          <w:sz w:val="22"/>
        </w:rPr>
        <w:t>Companions: M1 docs/changesExpalined.docx , M2 docs/FlowExpalined-M2.docx</w:t>
      </w:r>
    </w:p>
    <w:p>
      <w:pPr>
        <w:spacing w:after="40"/>
        <w:jc w:val="center"/>
      </w:pPr>
      <w:r>
        <w:rPr>
          <w:rFonts w:ascii="Calibri" w:hAnsi="Calibri" w:eastAsia="Calibri"/>
          <w:b w:val="0"/>
          <w:color w:val="555555"/>
          <w:sz w:val="22"/>
        </w:rPr>
        <w:t>Starting commit: 83ddacfe — “abdm V3”, plus data-transfer, hipId, doneAt, date-range, consent fixes</w:t>
      </w:r>
    </w:p>
    <w:p>
      <w:pPr>
        <w:spacing w:after="40"/>
        <w:jc w:val="center"/>
      </w:pPr>
      <w:r>
        <w:rPr>
          <w:rFonts w:ascii="Calibri" w:hAnsi="Calibri" w:eastAsia="Calibri"/>
          <w:b w:val="0"/>
          <w:color w:val="555555"/>
          <w:sz w:val="22"/>
        </w:rPr>
        <w:t>References: ABDM sandbox V3 data-flow and consent paths</w:t>
      </w:r>
    </w:p>
    <w:p>
      <w:pPr>
        <w:spacing w:after="160" w:before="0" w:line="276" w:lineRule="auto"/>
      </w:pPr>
      <w:r>
        <w:rPr>
          <w:rFonts w:ascii="Calibri" w:hAnsi="Calibri" w:eastAsia="Calibri"/>
          <w:b w:val="0"/>
          <w:color w:val="222222"/>
          <w:sz w:val="22"/>
        </w:rPr>
      </w:r>
    </w:p>
    <w:p>
      <w:pPr>
        <w:pStyle w:val="Heading1"/>
      </w:pPr>
      <w:r>
        <w:rPr>
          <w:rFonts w:ascii="Calibri" w:hAnsi="Calibri"/>
          <w:color w:val="1B3A5F"/>
        </w:rPr>
        <w:t>1. What M3 covers</w:t>
      </w:r>
    </w:p>
    <w:p>
      <w:pPr>
        <w:spacing w:after="160" w:before="0" w:line="276" w:lineRule="auto"/>
      </w:pPr>
      <w:r>
        <w:rPr>
          <w:rFonts w:ascii="Calibri" w:hAnsi="Calibri" w:eastAsia="Calibri"/>
          <w:b w:val="0"/>
          <w:color w:val="222222"/>
          <w:sz w:val="22"/>
        </w:rPr>
        <w:t>Milestone 3 is health-information exchange. After M2 has linked care contexts to an ABHA address, a Health Information User (HIU) — typically a PHR app or another hospital — may request those records. The patient grants a consent artefact. ABDM notifies this HIP. Later ABDM asks this HIP to collect FHIR bundles from OpenMRS, encrypt them with the HIU’s ECDH key, push them to the HIU dataPushUrl, and notify Gateway of success or failure.</w:t>
      </w:r>
    </w:p>
    <w:tbl>
      <w:tblPr>
        <w:tblStyle w:val="TableGrid"/>
        <w:tblW w:type="auto" w:w="0"/>
        <w:jc w:val="center"/>
        <w:tblLook w:firstColumn="1" w:firstRow="1" w:lastColumn="0" w:lastRow="0" w:noHBand="0" w:noVBand="1" w:val="04A0"/>
      </w:tblPr>
      <w:tblGrid>
        <w:gridCol w:w="3400"/>
        <w:gridCol w:w="3400"/>
        <w:gridCol w:w="3400"/>
      </w:tblGrid>
      <w:tr>
        <w:tc>
          <w:tcPr>
            <w:tcW w:type="dxa" w:w="2268"/>
            <w:shd w:fill="1B3A5F" w:val="clear"/>
          </w:tcPr>
          <w:p>
            <w:pPr>
              <w:spacing w:after="0" w:before="0"/>
              <w:jc w:val="center"/>
            </w:pPr>
            <w:r/>
            <w:r>
              <w:rPr>
                <w:rFonts w:ascii="Calibri" w:hAnsi="Calibri" w:eastAsia="Calibri"/>
                <w:b/>
                <w:color w:val="FFFFFF"/>
                <w:sz w:val="18"/>
              </w:rPr>
              <w:t>Step</w:t>
            </w:r>
          </w:p>
        </w:tc>
        <w:tc>
          <w:tcPr>
            <w:tcW w:type="dxa" w:w="3969"/>
            <w:shd w:fill="1B3A5F" w:val="clear"/>
          </w:tcPr>
          <w:p>
            <w:pPr>
              <w:spacing w:after="0" w:before="0"/>
              <w:jc w:val="center"/>
            </w:pPr>
            <w:r/>
            <w:r>
              <w:rPr>
                <w:rFonts w:ascii="Calibri" w:hAnsi="Calibri" w:eastAsia="Calibri"/>
                <w:b/>
                <w:color w:val="FFFFFF"/>
                <w:sz w:val="18"/>
              </w:rPr>
              <w:t>What happens</w:t>
            </w:r>
          </w:p>
        </w:tc>
        <w:tc>
          <w:tcPr>
            <w:tcW w:type="dxa" w:w="3402"/>
            <w:shd w:fill="1B3A5F" w:val="clear"/>
          </w:tcPr>
          <w:p>
            <w:pPr>
              <w:spacing w:after="0" w:before="0"/>
              <w:jc w:val="center"/>
            </w:pPr>
            <w:r/>
            <w:r>
              <w:rPr>
                <w:rFonts w:ascii="Calibri" w:hAnsi="Calibri" w:eastAsia="Calibri"/>
                <w:b/>
                <w:color w:val="FFFFFF"/>
                <w:sz w:val="18"/>
              </w:rPr>
              <w:t>HIP role</w:t>
            </w:r>
          </w:p>
        </w:tc>
      </w:tr>
      <w:tr>
        <w:tc>
          <w:tcPr>
            <w:tcW w:type="dxa" w:w="2268"/>
          </w:tcPr>
          <w:p>
            <w:pPr>
              <w:spacing w:after="0" w:before="0"/>
            </w:pPr>
            <w:r/>
            <w:r>
              <w:rPr>
                <w:rFonts w:ascii="Calibri" w:hAnsi="Calibri" w:eastAsia="Calibri"/>
                <w:b w:val="0"/>
                <w:color w:val="222222"/>
                <w:sz w:val="17"/>
              </w:rPr>
              <w:t>Consent notify</w:t>
            </w:r>
          </w:p>
        </w:tc>
        <w:tc>
          <w:tcPr>
            <w:tcW w:type="dxa" w:w="3969"/>
          </w:tcPr>
          <w:p>
            <w:pPr>
              <w:spacing w:after="0" w:before="0"/>
            </w:pPr>
            <w:r/>
            <w:r>
              <w:rPr>
                <w:rFonts w:ascii="Calibri" w:hAnsi="Calibri" w:eastAsia="Calibri"/>
                <w:b w:val="0"/>
                <w:color w:val="222222"/>
                <w:sz w:val="17"/>
              </w:rPr>
              <w:t>Patient grants / revokes consent in PHR for this HIP’s care contexts</w:t>
            </w:r>
          </w:p>
        </w:tc>
        <w:tc>
          <w:tcPr>
            <w:tcW w:type="dxa" w:w="3402"/>
          </w:tcPr>
          <w:p>
            <w:pPr>
              <w:spacing w:after="0" w:before="0"/>
            </w:pPr>
            <w:r/>
            <w:r>
              <w:rPr>
                <w:rFonts w:ascii="Calibri" w:hAnsi="Calibri" w:eastAsia="Calibri"/>
                <w:b w:val="0"/>
                <w:color w:val="222222"/>
                <w:sz w:val="17"/>
              </w:rPr>
              <w:t>Store or update artefact; acknowledge on-notify</w:t>
            </w:r>
          </w:p>
        </w:tc>
      </w:tr>
      <w:tr>
        <w:tc>
          <w:tcPr>
            <w:tcW w:type="dxa" w:w="2268"/>
            <w:shd w:fill="F3F7FA" w:val="clear"/>
          </w:tcPr>
          <w:p>
            <w:pPr>
              <w:spacing w:after="0" w:before="0"/>
            </w:pPr>
            <w:r/>
            <w:r>
              <w:rPr>
                <w:rFonts w:ascii="Calibri" w:hAnsi="Calibri" w:eastAsia="Calibri"/>
                <w:b w:val="0"/>
                <w:color w:val="222222"/>
                <w:sz w:val="17"/>
              </w:rPr>
              <w:t>Health-information request</w:t>
            </w:r>
          </w:p>
        </w:tc>
        <w:tc>
          <w:tcPr>
            <w:tcW w:type="dxa" w:w="3969"/>
            <w:shd w:fill="F3F7FA" w:val="clear"/>
          </w:tcPr>
          <w:p>
            <w:pPr>
              <w:spacing w:after="0" w:before="0"/>
            </w:pPr>
            <w:r/>
            <w:r>
              <w:rPr>
                <w:rFonts w:ascii="Calibri" w:hAnsi="Calibri" w:eastAsia="Calibri"/>
                <w:b w:val="0"/>
                <w:color w:val="222222"/>
                <w:sz w:val="17"/>
              </w:rPr>
              <w:t>HIU asks ABDM for data against a consent id</w:t>
            </w:r>
          </w:p>
        </w:tc>
        <w:tc>
          <w:tcPr>
            <w:tcW w:type="dxa" w:w="3402"/>
            <w:shd w:fill="F3F7FA" w:val="clear"/>
          </w:tcPr>
          <w:p>
            <w:pPr>
              <w:spacing w:after="0" w:before="0"/>
            </w:pPr>
            <w:r/>
            <w:r>
              <w:rPr>
                <w:rFonts w:ascii="Calibri" w:hAnsi="Calibri" w:eastAsia="Calibri"/>
                <w:b w:val="0"/>
                <w:color w:val="222222"/>
                <w:sz w:val="17"/>
              </w:rPr>
              <w:t>202, look up consent, enqueue RabbitMQ, on-request ACKNOWLEDGED or ERRORED</w:t>
            </w:r>
          </w:p>
        </w:tc>
      </w:tr>
      <w:tr>
        <w:tc>
          <w:tcPr>
            <w:tcW w:type="dxa" w:w="2268"/>
          </w:tcPr>
          <w:p>
            <w:pPr>
              <w:spacing w:after="0" w:before="0"/>
            </w:pPr>
            <w:r/>
            <w:r>
              <w:rPr>
                <w:rFonts w:ascii="Calibri" w:hAnsi="Calibri" w:eastAsia="Calibri"/>
                <w:b w:val="0"/>
                <w:color w:val="222222"/>
                <w:sz w:val="17"/>
              </w:rPr>
              <w:t>Collect + encrypt + push</w:t>
            </w:r>
          </w:p>
        </w:tc>
        <w:tc>
          <w:tcPr>
            <w:tcW w:type="dxa" w:w="3969"/>
          </w:tcPr>
          <w:p>
            <w:pPr>
              <w:spacing w:after="0" w:before="0"/>
            </w:pPr>
            <w:r/>
            <w:r>
              <w:rPr>
                <w:rFonts w:ascii="Calibri" w:hAnsi="Calibri" w:eastAsia="Calibri"/>
                <w:b w:val="0"/>
                <w:color w:val="222222"/>
                <w:sz w:val="17"/>
              </w:rPr>
              <w:t>Background worker builds FHIR per hiType and care context</w:t>
            </w:r>
          </w:p>
        </w:tc>
        <w:tc>
          <w:tcPr>
            <w:tcW w:type="dxa" w:w="3402"/>
          </w:tcPr>
          <w:p>
            <w:pPr>
              <w:spacing w:after="0" w:before="0"/>
            </w:pPr>
            <w:r/>
            <w:r>
              <w:rPr>
                <w:rFonts w:ascii="Calibri" w:hAnsi="Calibri" w:eastAsia="Calibri"/>
                <w:b w:val="0"/>
                <w:color w:val="222222"/>
                <w:sz w:val="17"/>
              </w:rPr>
              <w:t>ECDH/AES-GCM encrypt; POST to HIU dataPushUrl</w:t>
            </w:r>
          </w:p>
        </w:tc>
      </w:tr>
      <w:tr>
        <w:tc>
          <w:tcPr>
            <w:tcW w:type="dxa" w:w="2268"/>
            <w:shd w:fill="F3F7FA" w:val="clear"/>
          </w:tcPr>
          <w:p>
            <w:pPr>
              <w:spacing w:after="0" w:before="0"/>
            </w:pPr>
            <w:r/>
            <w:r>
              <w:rPr>
                <w:rFonts w:ascii="Calibri" w:hAnsi="Calibri" w:eastAsia="Calibri"/>
                <w:b w:val="0"/>
                <w:color w:val="222222"/>
                <w:sz w:val="17"/>
              </w:rPr>
              <w:t>Transfer notify</w:t>
            </w:r>
          </w:p>
        </w:tc>
        <w:tc>
          <w:tcPr>
            <w:tcW w:type="dxa" w:w="3969"/>
            <w:shd w:fill="F3F7FA" w:val="clear"/>
          </w:tcPr>
          <w:p>
            <w:pPr>
              <w:spacing w:after="0" w:before="0"/>
            </w:pPr>
            <w:r/>
            <w:r>
              <w:rPr>
                <w:rFonts w:ascii="Calibri" w:hAnsi="Calibri" w:eastAsia="Calibri"/>
                <w:b w:val="0"/>
                <w:color w:val="222222"/>
                <w:sz w:val="17"/>
              </w:rPr>
              <w:t>ABDM and HIU need delivery status</w:t>
            </w:r>
          </w:p>
        </w:tc>
        <w:tc>
          <w:tcPr>
            <w:tcW w:type="dxa" w:w="3402"/>
            <w:shd w:fill="F3F7FA" w:val="clear"/>
          </w:tcPr>
          <w:p>
            <w:pPr>
              <w:spacing w:after="0" w:before="0"/>
            </w:pPr>
            <w:r/>
            <w:r>
              <w:rPr>
                <w:rFonts w:ascii="Calibri" w:hAnsi="Calibri" w:eastAsia="Calibri"/>
                <w:b w:val="0"/>
                <w:color w:val="222222"/>
                <w:sz w:val="17"/>
              </w:rPr>
              <w:t>POST health-information/notify with hipId and per-context hiStatus</w:t>
            </w:r>
          </w:p>
        </w:tc>
      </w:tr>
    </w:tbl>
    <w:p/>
    <w:p>
      <w:pPr>
        <w:spacing w:after="160" w:before="0" w:line="276" w:lineRule="auto"/>
      </w:pPr>
      <w:r>
        <w:rPr>
          <w:rFonts w:ascii="Calibri" w:hAnsi="Calibri" w:eastAsia="Calibri"/>
          <w:b w:val="0"/>
          <w:color w:val="222222"/>
          <w:sz w:val="22"/>
        </w:rPr>
        <w:t>This HIP is only the data provider. It does not initiate consent as an HIU. Legacy v0.5 routes POST /consent/notification and POST /health-information/request are marked [Obsolete]; V3 uses the /api/v3 paths below.</w:t>
      </w:r>
    </w:p>
    <w:p>
      <w:pPr>
        <w:pStyle w:val="Heading1"/>
      </w:pPr>
      <w:r>
        <w:rPr>
          <w:rFonts w:ascii="Calibri" w:hAnsi="Calibri"/>
          <w:color w:val="1B3A5F"/>
        </w:rPr>
        <w:t>2. Actors and prerequisites</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Actor</w:t>
            </w:r>
          </w:p>
        </w:tc>
        <w:tc>
          <w:tcPr>
            <w:tcW w:type="dxa" w:w="7087"/>
            <w:shd w:fill="1B3A5F" w:val="clear"/>
          </w:tcPr>
          <w:p>
            <w:pPr>
              <w:spacing w:after="0" w:before="0"/>
              <w:jc w:val="center"/>
            </w:pPr>
            <w:r/>
            <w:r>
              <w:rPr>
                <w:rFonts w:ascii="Calibri" w:hAnsi="Calibri" w:eastAsia="Calibri"/>
                <w:b/>
                <w:color w:val="FFFFFF"/>
                <w:sz w:val="18"/>
              </w:rPr>
              <w:t>Role</w:t>
            </w:r>
          </w:p>
        </w:tc>
      </w:tr>
      <w:tr>
        <w:tc>
          <w:tcPr>
            <w:tcW w:type="dxa" w:w="2551"/>
          </w:tcPr>
          <w:p>
            <w:pPr>
              <w:spacing w:after="0" w:before="0"/>
            </w:pPr>
            <w:r/>
            <w:r>
              <w:rPr>
                <w:rFonts w:ascii="Calibri" w:hAnsi="Calibri" w:eastAsia="Calibri"/>
                <w:b w:val="0"/>
                <w:color w:val="222222"/>
                <w:sz w:val="17"/>
              </w:rPr>
              <w:t>Patient / PHR</w:t>
            </w:r>
          </w:p>
        </w:tc>
        <w:tc>
          <w:tcPr>
            <w:tcW w:type="dxa" w:w="7087"/>
          </w:tcPr>
          <w:p>
            <w:pPr>
              <w:spacing w:after="0" w:before="0"/>
            </w:pPr>
            <w:r/>
            <w:r>
              <w:rPr>
                <w:rFonts w:ascii="Calibri" w:hAnsi="Calibri" w:eastAsia="Calibri"/>
                <w:b w:val="0"/>
                <w:color w:val="222222"/>
                <w:sz w:val="17"/>
              </w:rPr>
              <w:t>Grants or revokes consent for hiTypes and date range</w:t>
            </w:r>
          </w:p>
        </w:tc>
      </w:tr>
      <w:tr>
        <w:tc>
          <w:tcPr>
            <w:tcW w:type="dxa" w:w="2551"/>
            <w:shd w:fill="F3F7FA" w:val="clear"/>
          </w:tcPr>
          <w:p>
            <w:pPr>
              <w:spacing w:after="0" w:before="0"/>
            </w:pPr>
            <w:r/>
            <w:r>
              <w:rPr>
                <w:rFonts w:ascii="Calibri" w:hAnsi="Calibri" w:eastAsia="Calibri"/>
                <w:b w:val="0"/>
                <w:color w:val="222222"/>
                <w:sz w:val="17"/>
              </w:rPr>
              <w:t>HIU</w:t>
            </w:r>
          </w:p>
        </w:tc>
        <w:tc>
          <w:tcPr>
            <w:tcW w:type="dxa" w:w="7087"/>
            <w:shd w:fill="F3F7FA" w:val="clear"/>
          </w:tcPr>
          <w:p>
            <w:pPr>
              <w:spacing w:after="0" w:before="0"/>
            </w:pPr>
            <w:r/>
            <w:r>
              <w:rPr>
                <w:rFonts w:ascii="Calibri" w:hAnsi="Calibri" w:eastAsia="Calibri"/>
                <w:b w:val="0"/>
                <w:color w:val="222222"/>
                <w:sz w:val="17"/>
              </w:rPr>
              <w:t>Requests data; publishes ECDH public key + nonce; hosts dataPushUrl</w:t>
            </w:r>
          </w:p>
        </w:tc>
      </w:tr>
      <w:tr>
        <w:tc>
          <w:tcPr>
            <w:tcW w:type="dxa" w:w="2551"/>
          </w:tcPr>
          <w:p>
            <w:pPr>
              <w:spacing w:after="0" w:before="0"/>
            </w:pPr>
            <w:r/>
            <w:r>
              <w:rPr>
                <w:rFonts w:ascii="Calibri" w:hAnsi="Calibri" w:eastAsia="Calibri"/>
                <w:b w:val="0"/>
                <w:color w:val="222222"/>
                <w:sz w:val="17"/>
              </w:rPr>
              <w:t>ABDM Gateway / HIE-CM</w:t>
            </w:r>
          </w:p>
        </w:tc>
        <w:tc>
          <w:tcPr>
            <w:tcW w:type="dxa" w:w="7087"/>
          </w:tcPr>
          <w:p>
            <w:pPr>
              <w:spacing w:after="0" w:before="0"/>
            </w:pPr>
            <w:r/>
            <w:r>
              <w:rPr>
                <w:rFonts w:ascii="Calibri" w:hAnsi="Calibri" w:eastAsia="Calibri"/>
                <w:b w:val="0"/>
                <w:color w:val="222222"/>
                <w:sz w:val="17"/>
              </w:rPr>
              <w:t>Notifies HIP of consent; forwards HI request; receives on-request and notify</w:t>
            </w:r>
          </w:p>
        </w:tc>
      </w:tr>
      <w:tr>
        <w:tc>
          <w:tcPr>
            <w:tcW w:type="dxa" w:w="2551"/>
            <w:shd w:fill="F3F7FA" w:val="clear"/>
          </w:tcPr>
          <w:p>
            <w:pPr>
              <w:spacing w:after="0" w:before="0"/>
            </w:pPr>
            <w:r/>
            <w:r>
              <w:rPr>
                <w:rFonts w:ascii="Calibri" w:hAnsi="Calibri" w:eastAsia="Calibri"/>
                <w:b w:val="0"/>
                <w:color w:val="222222"/>
                <w:sz w:val="17"/>
              </w:rPr>
              <w:t>hip-service</w:t>
            </w:r>
          </w:p>
        </w:tc>
        <w:tc>
          <w:tcPr>
            <w:tcW w:type="dxa" w:w="7087"/>
            <w:shd w:fill="F3F7FA" w:val="clear"/>
          </w:tcPr>
          <w:p>
            <w:pPr>
              <w:spacing w:after="0" w:before="0"/>
            </w:pPr>
            <w:r/>
            <w:r>
              <w:rPr>
                <w:rFonts w:ascii="Calibri" w:hAnsi="Calibri" w:eastAsia="Calibri"/>
                <w:b w:val="0"/>
                <w:color w:val="222222"/>
                <w:sz w:val="17"/>
              </w:rPr>
              <w:t>Persists consent, collects FHIR, encrypts, pushes, notifies</w:t>
            </w:r>
          </w:p>
        </w:tc>
      </w:tr>
      <w:tr>
        <w:tc>
          <w:tcPr>
            <w:tcW w:type="dxa" w:w="2551"/>
          </w:tcPr>
          <w:p>
            <w:pPr>
              <w:spacing w:after="0" w:before="0"/>
            </w:pPr>
            <w:r/>
            <w:r>
              <w:rPr>
                <w:rFonts w:ascii="Calibri" w:hAnsi="Calibri" w:eastAsia="Calibri"/>
                <w:b w:val="0"/>
                <w:color w:val="222222"/>
                <w:sz w:val="17"/>
              </w:rPr>
              <w:t>OpenMRS</w:t>
            </w:r>
          </w:p>
        </w:tc>
        <w:tc>
          <w:tcPr>
            <w:tcW w:type="dxa" w:w="7087"/>
          </w:tcPr>
          <w:p>
            <w:pPr>
              <w:spacing w:after="0" w:before="0"/>
            </w:pPr>
            <w:r/>
            <w:r>
              <w:rPr>
                <w:rFonts w:ascii="Calibri" w:hAnsi="Calibri" w:eastAsia="Calibri"/>
                <w:b w:val="0"/>
                <w:color w:val="222222"/>
                <w:sz w:val="17"/>
              </w:rPr>
              <w:t>FHIR bundles via ws/rest/v1/hip/{hiType}/visit or /program</w:t>
            </w:r>
          </w:p>
        </w:tc>
      </w:tr>
      <w:tr>
        <w:tc>
          <w:tcPr>
            <w:tcW w:type="dxa" w:w="2551"/>
            <w:shd w:fill="F3F7FA" w:val="clear"/>
          </w:tcPr>
          <w:p>
            <w:pPr>
              <w:spacing w:after="0" w:before="0"/>
            </w:pPr>
            <w:r/>
            <w:r>
              <w:rPr>
                <w:rFonts w:ascii="Calibri" w:hAnsi="Calibri" w:eastAsia="Calibri"/>
                <w:b w:val="0"/>
                <w:color w:val="222222"/>
                <w:sz w:val="17"/>
              </w:rPr>
              <w:t>RabbitMQ</w:t>
            </w:r>
          </w:p>
        </w:tc>
        <w:tc>
          <w:tcPr>
            <w:tcW w:type="dxa" w:w="7087"/>
            <w:shd w:fill="F3F7FA" w:val="clear"/>
          </w:tcPr>
          <w:p>
            <w:pPr>
              <w:spacing w:after="0" w:before="0"/>
            </w:pPr>
            <w:r/>
            <w:r>
              <w:rPr>
                <w:rFonts w:ascii="Calibri" w:hAnsi="Calibri" w:eastAsia="Calibri"/>
                <w:b w:val="0"/>
                <w:color w:val="222222"/>
                <w:sz w:val="17"/>
              </w:rPr>
              <w:t>Async queue hip-data-request after HIP has acknowledged the HI request</w:t>
            </w:r>
          </w:p>
        </w:tc>
      </w:tr>
      <w:tr>
        <w:tc>
          <w:tcPr>
            <w:tcW w:type="dxa" w:w="2551"/>
          </w:tcPr>
          <w:p>
            <w:pPr>
              <w:spacing w:after="0" w:before="0"/>
            </w:pPr>
            <w:r/>
            <w:r>
              <w:rPr>
                <w:rFonts w:ascii="Calibri" w:hAnsi="Calibri" w:eastAsia="Calibri"/>
                <w:b w:val="0"/>
                <w:color w:val="222222"/>
                <w:sz w:val="17"/>
              </w:rPr>
              <w:t>PostgreSQL</w:t>
            </w:r>
          </w:p>
        </w:tc>
        <w:tc>
          <w:tcPr>
            <w:tcW w:type="dxa" w:w="7087"/>
          </w:tcPr>
          <w:p>
            <w:pPr>
              <w:spacing w:after="0" w:before="0"/>
            </w:pPr>
            <w:r/>
            <w:r>
              <w:rPr>
                <w:rFonts w:ascii="Calibri" w:hAnsi="Calibri" w:eastAsia="Calibri"/>
                <w:b w:val="0"/>
                <w:color w:val="222222"/>
                <w:sz w:val="17"/>
              </w:rPr>
              <w:t>ConsentArtefact, DataFlowRequest, HealthInformation (large-payload links)</w:t>
            </w:r>
          </w:p>
        </w:tc>
      </w:tr>
    </w:tbl>
    <w:p/>
    <w:p>
      <w:pPr>
        <w:spacing w:after="80" w:before="0" w:line="276" w:lineRule="auto"/>
      </w:pPr>
      <w:r>
        <w:rPr>
          <w:rFonts w:ascii="Calibri" w:hAnsi="Calibri" w:eastAsia="Calibri"/>
          <w:b/>
          <w:color w:val="222222"/>
          <w:sz w:val="22"/>
        </w:rPr>
        <w:t>Prerequisites from M1/M2:</w:t>
      </w:r>
    </w:p>
    <w:p>
      <w:pPr>
        <w:pStyle w:val="ListBullet"/>
        <w:spacing w:after="60"/>
        <w:ind w:left="709"/>
      </w:pPr>
      <w:r>
        <w:rPr>
          <w:rFonts w:ascii="Calibri" w:hAnsi="Calibri" w:eastAsia="Calibri"/>
          <w:b w:val="0"/>
          <w:color w:val="222222"/>
          <w:sz w:val="22"/>
        </w:rPr>
        <w:t>Care contexts already linked to the ABHA address (M2). HIP resolves OpenMRS patientUuid from the linked account.</w:t>
      </w:r>
    </w:p>
    <w:p>
      <w:pPr>
        <w:pStyle w:val="ListBullet"/>
        <w:spacing w:after="60"/>
        <w:ind w:left="709"/>
      </w:pPr>
      <w:r>
        <w:rPr>
          <w:rFonts w:ascii="Calibri" w:hAnsi="Calibri" w:eastAsia="Calibri"/>
          <w:b w:val="0"/>
          <w:color w:val="222222"/>
          <w:sz w:val="22"/>
        </w:rPr>
        <w:t>Care context referenceNumber format patientId:visitUuid so HFR id can be read from the visit location.</w:t>
      </w:r>
    </w:p>
    <w:p>
      <w:pPr>
        <w:pStyle w:val="ListBullet"/>
        <w:spacing w:after="60"/>
        <w:ind w:left="709"/>
      </w:pPr>
      <w:r>
        <w:rPr>
          <w:rFonts w:ascii="Calibri" w:hAnsi="Calibri" w:eastAsia="Calibri"/>
          <w:b w:val="0"/>
          <w:color w:val="222222"/>
          <w:sz w:val="22"/>
        </w:rPr>
        <w:t>Gateway session token (same M1 pattern) on every HIP-to-Gateway and HIP-to-HIU call.</w:t>
      </w:r>
    </w:p>
    <w:p>
      <w:pPr>
        <w:pStyle w:val="Heading1"/>
      </w:pPr>
      <w:r>
        <w:rPr>
          <w:rFonts w:ascii="Calibri" w:hAnsi="Calibri"/>
          <w:color w:val="1B3A5F"/>
        </w:rPr>
        <w:t>3. Flow A — Consent artefact notify</w:t>
      </w:r>
    </w:p>
    <w:p>
      <w:pPr>
        <w:spacing w:after="160" w:before="0" w:line="276" w:lineRule="auto"/>
      </w:pPr>
      <w:r>
        <w:rPr>
          <w:rFonts w:ascii="Calibri" w:hAnsi="Calibri" w:eastAsia="Calibri"/>
          <w:b w:val="0"/>
          <w:color w:val="222222"/>
          <w:sz w:val="22"/>
        </w:rPr>
        <w:t>When the patient grants consent for this HIP, Gateway POSTs the artefact. HIP stores it and must be able to look it up by consentId when the later health-information request arrives. Revoke / deny / expire update the same row.</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m3-consent-notify.png"/>
                    <pic:cNvPicPr/>
                  </pic:nvPicPr>
                  <pic:blipFill>
                    <a:blip r:embed="rId9"/>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1. Consent notify: Gateway to HIP, persist artefact, on-notify acknowledgement.</w:t>
      </w:r>
    </w:p>
    <w:p>
      <w:pPr>
        <w:pStyle w:val="Heading3"/>
      </w:pPr>
      <w:r>
        <w:rPr>
          <w:rFonts w:ascii="Calibri" w:hAnsi="Calibri"/>
          <w:color w:val="0D7373"/>
        </w:rPr>
        <w:t>Consent notify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/api/v3/consent/request/hip/notify</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202 Accepted immediately; Hangfire StoreConsent</w:t>
            </w:r>
          </w:p>
        </w:tc>
      </w:tr>
      <w:tr>
        <w:tc>
          <w:tcPr>
            <w:tcW w:type="dxa" w:w="2551"/>
            <w:shd w:fill="F3F7FA" w:val="clear"/>
          </w:tcPr>
          <w:p>
            <w:pPr>
              <w:spacing w:after="0" w:before="0"/>
            </w:pPr>
            <w:r/>
            <w:r>
              <w:rPr>
                <w:rFonts w:ascii="Calibri" w:hAnsi="Calibri" w:eastAsia="Calibri"/>
                <w:b w:val="0"/>
                <w:color w:val="222222"/>
                <w:sz w:val="17"/>
              </w:rPr>
              <w:t>HIP callback</w:t>
            </w:r>
          </w:p>
        </w:tc>
        <w:tc>
          <w:tcPr>
            <w:tcW w:type="dxa" w:w="7087"/>
            <w:shd w:fill="F3F7FA" w:val="clear"/>
          </w:tcPr>
          <w:p>
            <w:pPr>
              <w:spacing w:after="0" w:before="0"/>
            </w:pPr>
            <w:r/>
            <w:r>
              <w:rPr>
                <w:rFonts w:ascii="Calibri" w:hAnsi="Calibri" w:eastAsia="Calibri"/>
                <w:b w:val="0"/>
                <w:color w:val="222222"/>
                <w:sz w:val="17"/>
              </w:rPr>
              <w:t>POST {Gateway.url}/api/hiecm/consent/v3/request/hip/on-notify</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Consent.ConsentNotificationController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Persist GRANTED artefact, or update REVOKED / DENIED / EXPIRED status</w:t>
            </w:r>
          </w:p>
        </w:tc>
      </w:tr>
    </w:tbl>
    <w:p/>
    <w:p>
      <w:pPr>
        <w:spacing w:after="160" w:before="0" w:line="276" w:lineRule="auto"/>
      </w:pPr>
      <w:r>
        <w:rPr>
          <w:rFonts w:ascii="Calibri" w:hAnsi="Calibri" w:eastAsia="Calibri"/>
          <w:b w:val="0"/>
          <w:color w:val="222222"/>
          <w:sz w:val="20"/>
        </w:rPr>
        <w:t>Inbound headers: CORRELATION-ID, REQUEST-ID (required), TIMESTAMP.</w:t>
      </w:r>
    </w:p>
    <w:p>
      <w:pPr>
        <w:spacing w:after="80" w:before="0" w:line="276" w:lineRule="auto"/>
      </w:pPr>
      <w:r>
        <w:rPr>
          <w:rFonts w:ascii="Calibri" w:hAnsi="Calibri" w:eastAsia="Calibri"/>
          <w:b/>
          <w:color w:val="222222"/>
          <w:sz w:val="22"/>
        </w:rPr>
        <w:t>Gateway request body (ConsentArtefactRepresentation)</w:t>
      </w:r>
    </w:p>
    <w:p>
      <w:pPr>
        <w:spacing w:after="160" w:before="80"/>
        <w:ind w:left="227"/>
        <w:shd w:fill="F4F6F8" w:val="clear"/>
      </w:pPr>
      <w:r>
        <w:rPr>
          <w:rFonts w:ascii="Consolas" w:hAnsi="Consolas" w:eastAsia="Consolas"/>
          <w:b w:val="0"/>
          <w:color w:val="1A1A1A"/>
          <w:sz w:val="18"/>
        </w:rPr>
        <w:t>{</w:t>
        <w:br/>
        <w:t xml:space="preserve">  "notification": {</w:t>
        <w:br/>
        <w:t xml:space="preserve">    "status": "GRANTED",</w:t>
        <w:br/>
        <w:t xml:space="preserve">    "consentId": "consent-uuid",</w:t>
        <w:br/>
        <w:t xml:space="preserve">    "signature": "&lt;cms-signature&gt;",</w:t>
        <w:br/>
        <w:t xml:space="preserve">    "grantAcknowledgement": true,</w:t>
        <w:br/>
        <w:t xml:space="preserve">    "consentDetail": {</w:t>
        <w:br/>
        <w:t xml:space="preserve">      "consentId": "consent-uuid",</w:t>
        <w:br/>
        <w:t xml:space="preserve">      "createdAt": "2026-08-22T06:00:00.000Z",</w:t>
        <w:br/>
        <w:t xml:space="preserve">      "patient": { "id": "first.last@sbx" },</w:t>
        <w:br/>
        <w:t xml:space="preserve">      "hip": { "id": "IN2710001820" },</w:t>
        <w:br/>
        <w:t xml:space="preserve">      "consentManager": { "id": "sbx" },</w:t>
        <w:br/>
        <w:t xml:space="preserve">      "hiTypes": ["OPConsultation", "Prescription"],</w:t>
        <w:br/>
        <w:t xml:space="preserve">      "careContexts": [</w:t>
        <w:br/>
        <w:t xml:space="preserve">        { "patientReference": "openMrsPatientUuid", "careContextReference": "openMrsPatientUuid:visitUuid" }</w:t>
        <w:br/>
        <w:t xml:space="preserve">      ],</w:t>
        <w:br/>
        <w:t xml:space="preserve">      "permission": {</w:t>
        <w:br/>
        <w:t xml:space="preserve">        "accessMode": "VIEW",</w:t>
        <w:br/>
        <w:t xml:space="preserve">        "dateRange": { "from": "2026-01-01T00:00:00.000Z", "to": "2026-08-22T23:59:59.000Z" },</w:t>
        <w:br/>
        <w:t xml:space="preserve">        "dataEraseAt": "2026-09-22T00:00:00.000Z"</w:t>
        <w:br/>
        <w:t xml:space="preserve">      }</w:t>
        <w:br/>
        <w:t xml:space="preserve">    }</w:t>
        <w:br/>
        <w:t xml:space="preserve">  }</w:t>
        <w:br/>
        <w:t>}</w:t>
      </w:r>
    </w:p>
    <w:p>
      <w:pPr>
        <w:spacing w:after="80" w:before="0" w:line="276" w:lineRule="auto"/>
      </w:pPr>
      <w:r>
        <w:rPr>
          <w:rFonts w:ascii="Calibri" w:hAnsi="Calibri" w:eastAsia="Calibri"/>
          <w:b/>
          <w:color w:val="222222"/>
          <w:sz w:val="22"/>
        </w:rPr>
        <w:t>HIP behaviour by status</w:t>
      </w:r>
    </w:p>
    <w:tbl>
      <w:tblPr>
        <w:tblStyle w:val="TableGrid"/>
        <w:tblW w:type="auto" w:w="0"/>
        <w:jc w:val="center"/>
        <w:tblLook w:firstColumn="1" w:firstRow="1" w:lastColumn="0" w:lastRow="0" w:noHBand="0" w:noVBand="1" w:val="04A0"/>
      </w:tblPr>
      <w:tblGrid>
        <w:gridCol w:w="3400"/>
        <w:gridCol w:w="3400"/>
        <w:gridCol w:w="3400"/>
      </w:tblGrid>
      <w:tr>
        <w:tc>
          <w:tcPr>
            <w:tcW w:type="dxa" w:w="2551"/>
            <w:shd w:fill="1B3A5F" w:val="clear"/>
          </w:tcPr>
          <w:p>
            <w:pPr>
              <w:spacing w:after="0" w:before="0"/>
              <w:jc w:val="center"/>
            </w:pPr>
            <w:r/>
            <w:r>
              <w:rPr>
                <w:rFonts w:ascii="Calibri" w:hAnsi="Calibri" w:eastAsia="Calibri"/>
                <w:b/>
                <w:color w:val="FFFFFF"/>
                <w:sz w:val="18"/>
              </w:rPr>
              <w:t>notification.status</w:t>
            </w:r>
          </w:p>
        </w:tc>
        <w:tc>
          <w:tcPr>
            <w:tcW w:type="dxa" w:w="4252"/>
            <w:shd w:fill="1B3A5F" w:val="clear"/>
          </w:tcPr>
          <w:p>
            <w:pPr>
              <w:spacing w:after="0" w:before="0"/>
              <w:jc w:val="center"/>
            </w:pPr>
            <w:r/>
            <w:r>
              <w:rPr>
                <w:rFonts w:ascii="Calibri" w:hAnsi="Calibri" w:eastAsia="Calibri"/>
                <w:b/>
                <w:color w:val="FFFFFF"/>
                <w:sz w:val="18"/>
              </w:rPr>
              <w:t>HIP action</w:t>
            </w:r>
          </w:p>
        </w:tc>
        <w:tc>
          <w:tcPr>
            <w:tcW w:type="dxa" w:w="2835"/>
            <w:shd w:fill="1B3A5F" w:val="clear"/>
          </w:tcPr>
          <w:p>
            <w:pPr>
              <w:spacing w:after="0" w:before="0"/>
              <w:jc w:val="center"/>
            </w:pPr>
            <w:r/>
            <w:r>
              <w:rPr>
                <w:rFonts w:ascii="Calibri" w:hAnsi="Calibri" w:eastAsia="Calibri"/>
                <w:b/>
                <w:color w:val="FFFFFF"/>
                <w:sz w:val="18"/>
              </w:rPr>
              <w:t>on-notify</w:t>
            </w:r>
          </w:p>
        </w:tc>
      </w:tr>
      <w:tr>
        <w:tc>
          <w:tcPr>
            <w:tcW w:type="dxa" w:w="2551"/>
          </w:tcPr>
          <w:p>
            <w:pPr>
              <w:spacing w:after="0" w:before="0"/>
            </w:pPr>
            <w:r/>
            <w:r>
              <w:rPr>
                <w:rFonts w:ascii="Calibri" w:hAnsi="Calibri" w:eastAsia="Calibri"/>
                <w:b w:val="0"/>
                <w:color w:val="222222"/>
                <w:sz w:val="17"/>
              </w:rPr>
              <w:t>GRANTED</w:t>
            </w:r>
          </w:p>
        </w:tc>
        <w:tc>
          <w:tcPr>
            <w:tcW w:type="dxa" w:w="4252"/>
          </w:tcPr>
          <w:p>
            <w:pPr>
              <w:spacing w:after="0" w:before="0"/>
            </w:pPr>
            <w:r/>
            <w:r>
              <w:rPr>
                <w:rFonts w:ascii="Calibri" w:hAnsi="Calibri" w:eastAsia="Calibri"/>
                <w:b w:val="0"/>
                <w:color w:val="222222"/>
                <w:sz w:val="17"/>
              </w:rPr>
              <w:t>Insert Consent (artefact id, detail, signature, status, consentId)</w:t>
            </w:r>
          </w:p>
        </w:tc>
        <w:tc>
          <w:tcPr>
            <w:tcW w:type="dxa" w:w="2835"/>
          </w:tcPr>
          <w:p>
            <w:pPr>
              <w:spacing w:after="0" w:before="0"/>
            </w:pPr>
            <w:r/>
            <w:r>
              <w:rPr>
                <w:rFonts w:ascii="Calibri" w:hAnsi="Calibri" w:eastAsia="Calibri"/>
                <w:b w:val="0"/>
                <w:color w:val="222222"/>
                <w:sz w:val="17"/>
              </w:rPr>
              <w:t>Yes — acknowledgement.status OK</w:t>
            </w:r>
          </w:p>
        </w:tc>
      </w:tr>
      <w:tr>
        <w:tc>
          <w:tcPr>
            <w:tcW w:type="dxa" w:w="2551"/>
            <w:shd w:fill="F3F7FA" w:val="clear"/>
          </w:tcPr>
          <w:p>
            <w:pPr>
              <w:spacing w:after="0" w:before="0"/>
            </w:pPr>
            <w:r/>
            <w:r>
              <w:rPr>
                <w:rFonts w:ascii="Calibri" w:hAnsi="Calibri" w:eastAsia="Calibri"/>
                <w:b w:val="0"/>
                <w:color w:val="222222"/>
                <w:sz w:val="17"/>
              </w:rPr>
              <w:t>REVOKED</w:t>
            </w:r>
          </w:p>
        </w:tc>
        <w:tc>
          <w:tcPr>
            <w:tcW w:type="dxa" w:w="4252"/>
            <w:shd w:fill="F3F7FA" w:val="clear"/>
          </w:tcPr>
          <w:p>
            <w:pPr>
              <w:spacing w:after="0" w:before="0"/>
            </w:pPr>
            <w:r/>
            <w:r>
              <w:rPr>
                <w:rFonts w:ascii="Calibri" w:hAnsi="Calibri" w:eastAsia="Calibri"/>
                <w:b w:val="0"/>
                <w:color w:val="222222"/>
                <w:sz w:val="17"/>
              </w:rPr>
              <w:t>Update status; load artefact for cmSuffix</w:t>
            </w:r>
          </w:p>
        </w:tc>
        <w:tc>
          <w:tcPr>
            <w:tcW w:type="dxa" w:w="2835"/>
            <w:shd w:fill="F3F7FA" w:val="clear"/>
          </w:tcPr>
          <w:p>
            <w:pPr>
              <w:spacing w:after="0" w:before="0"/>
            </w:pPr>
            <w:r/>
            <w:r>
              <w:rPr>
                <w:rFonts w:ascii="Calibri" w:hAnsi="Calibri" w:eastAsia="Calibri"/>
                <w:b w:val="0"/>
                <w:color w:val="222222"/>
                <w:sz w:val="17"/>
              </w:rPr>
              <w:t>Yes — acknowledgement.status OK</w:t>
            </w:r>
          </w:p>
        </w:tc>
      </w:tr>
      <w:tr>
        <w:tc>
          <w:tcPr>
            <w:tcW w:type="dxa" w:w="2551"/>
          </w:tcPr>
          <w:p>
            <w:pPr>
              <w:spacing w:after="0" w:before="0"/>
            </w:pPr>
            <w:r/>
            <w:r>
              <w:rPr>
                <w:rFonts w:ascii="Calibri" w:hAnsi="Calibri" w:eastAsia="Calibri"/>
                <w:b w:val="0"/>
                <w:color w:val="222222"/>
                <w:sz w:val="17"/>
              </w:rPr>
              <w:t>DENIED / EXPIRED / REQUESTED</w:t>
            </w:r>
          </w:p>
        </w:tc>
        <w:tc>
          <w:tcPr>
            <w:tcW w:type="dxa" w:w="4252"/>
          </w:tcPr>
          <w:p>
            <w:pPr>
              <w:spacing w:after="0" w:before="0"/>
            </w:pPr>
            <w:r/>
            <w:r>
              <w:rPr>
                <w:rFonts w:ascii="Calibri" w:hAnsi="Calibri" w:eastAsia="Calibri"/>
                <w:b w:val="0"/>
                <w:color w:val="222222"/>
                <w:sz w:val="17"/>
              </w:rPr>
              <w:t>Update status if row exists</w:t>
            </w:r>
          </w:p>
        </w:tc>
        <w:tc>
          <w:tcPr>
            <w:tcW w:type="dxa" w:w="2835"/>
          </w:tcPr>
          <w:p>
            <w:pPr>
              <w:spacing w:after="0" w:before="0"/>
            </w:pPr>
            <w:r/>
            <w:r>
              <w:rPr>
                <w:rFonts w:ascii="Calibri" w:hAnsi="Calibri" w:eastAsia="Calibri"/>
                <w:b w:val="0"/>
                <w:color w:val="222222"/>
                <w:sz w:val="17"/>
              </w:rPr>
              <w:t>No callback in current code</w:t>
            </w:r>
          </w:p>
        </w:tc>
      </w:tr>
    </w:tbl>
    <w:p/>
    <w:p>
      <w:pPr>
        <w:spacing w:after="80" w:before="0" w:line="276" w:lineRule="auto"/>
      </w:pPr>
      <w:r>
        <w:rPr>
          <w:rFonts w:ascii="Calibri" w:hAnsi="Calibri" w:eastAsia="Calibri"/>
          <w:b/>
          <w:color w:val="222222"/>
          <w:sz w:val="22"/>
        </w:rPr>
        <w:t>HIP on-notify body (GatewayConsentRepresentation)</w:t>
      </w:r>
    </w:p>
    <w:p>
      <w:pPr>
        <w:spacing w:after="160" w:before="80"/>
        <w:ind w:left="227"/>
        <w:shd w:fill="F4F6F8" w:val="clear"/>
      </w:pPr>
      <w:r>
        <w:rPr>
          <w:rFonts w:ascii="Consolas" w:hAnsi="Consolas" w:eastAsia="Consolas"/>
          <w:b w:val="0"/>
          <w:color w:val="1A1A1A"/>
          <w:sz w:val="18"/>
        </w:rPr>
        <w:t>{</w:t>
        <w:br/>
        <w:t xml:space="preserve">  "acknowledgement": {</w:t>
        <w:br/>
        <w:t xml:space="preserve">    "status": "OK",</w:t>
        <w:br/>
        <w:t xml:space="preserve">    "consentId": "consent-uuid"</w:t>
        <w:br/>
        <w:t xml:space="preserve">  },</w:t>
        <w:br/>
        <w:t xml:space="preserve">  "error": null,</w:t>
        <w:br/>
        <w:t xml:space="preserve">  "response": { "requestId": "&lt;inbound REQUEST-ID&gt;" }</w:t>
        <w:br/>
        <w:t>}</w:t>
      </w:r>
    </w:p>
    <w:p>
      <w:pPr>
        <w:spacing w:after="160" w:before="0" w:line="276" w:lineRule="auto"/>
      </w:pPr>
      <w:r>
        <w:rPr>
          <w:rFonts w:ascii="Calibri" w:hAnsi="Calibri" w:eastAsia="Calibri"/>
          <w:b w:val="0"/>
          <w:color w:val="555555"/>
          <w:sz w:val="20"/>
        </w:rPr>
        <w:t>ConsentStatus enum: REQUESTED, GRANTED, DENIED, REVOKED, EXPIRED. HIP does not verify the CMS signature in this service; it stores the signature with the artefact.</w:t>
      </w:r>
    </w:p>
    <w:p>
      <w:pPr>
        <w:pStyle w:val="Heading1"/>
      </w:pPr>
      <w:r>
        <w:rPr>
          <w:rFonts w:ascii="Calibri" w:hAnsi="Calibri"/>
          <w:color w:val="1B3A5F"/>
        </w:rPr>
        <w:t>4. Flow B — Health information request and transfer</w:t>
      </w:r>
    </w:p>
    <w:p>
      <w:pPr>
        <w:spacing w:after="160" w:before="0" w:line="276" w:lineRule="auto"/>
      </w:pPr>
      <w:r>
        <w:rPr>
          <w:rFonts w:ascii="Calibri" w:hAnsi="Calibri" w:eastAsia="Calibri"/>
          <w:b w:val="0"/>
          <w:color w:val="222222"/>
          <w:sz w:val="22"/>
        </w:rPr>
        <w:t>After consent is GRANTED, the HIU asks ABDM for data. Gateway calls this HIP with the consent id, a date range, the HIU dataPushUrl, and ECDH keyMaterial. HIP acknowledges quickly, then a RabbitMQ worker collects OpenMRS FHIR, encrypts, pushes to the HIU, and notifies Gateway.</w:t>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m3-health-information-transfer.png"/>
                    <pic:cNvPicPr/>
                  </pic:nvPicPr>
                  <pic:blipFill>
                    <a:blip r:embed="rId10"/>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2. Health-information request, collect FHIR, encrypt, push to HIU, notify Gateway.</w:t>
      </w:r>
    </w:p>
    <w:p>
      <w:pPr>
        <w:pStyle w:val="Heading2"/>
      </w:pPr>
      <w:r>
        <w:rPr>
          <w:rFonts w:ascii="Calibri" w:hAnsi="Calibri"/>
          <w:color w:val="1B3A5F"/>
        </w:rPr>
        <w:t>4.1 Receive request and on-request</w:t>
      </w:r>
    </w:p>
    <w:p>
      <w:pPr>
        <w:pStyle w:val="Heading3"/>
      </w:pPr>
      <w:r>
        <w:rPr>
          <w:rFonts w:ascii="Calibri" w:hAnsi="Calibri"/>
          <w:color w:val="0D7373"/>
        </w:rPr>
        <w:t>Health-information request (Gateway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ABDM Gateway -&gt; HIP callback</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POST /api/v3/hip/health-information/request</w:t>
            </w:r>
          </w:p>
        </w:tc>
      </w:tr>
      <w:tr>
        <w:tc>
          <w:tcPr>
            <w:tcW w:type="dxa" w:w="2551"/>
          </w:tcPr>
          <w:p>
            <w:pPr>
              <w:spacing w:after="0" w:before="0"/>
            </w:pPr>
            <w:r/>
            <w:r>
              <w:rPr>
                <w:rFonts w:ascii="Calibri" w:hAnsi="Calibri" w:eastAsia="Calibri"/>
                <w:b w:val="0"/>
                <w:color w:val="222222"/>
                <w:sz w:val="17"/>
              </w:rPr>
              <w:t>HIP HTTP</w:t>
            </w:r>
          </w:p>
        </w:tc>
        <w:tc>
          <w:tcPr>
            <w:tcW w:type="dxa" w:w="7087"/>
          </w:tcPr>
          <w:p>
            <w:pPr>
              <w:spacing w:after="0" w:before="0"/>
            </w:pPr>
            <w:r/>
            <w:r>
              <w:rPr>
                <w:rFonts w:ascii="Calibri" w:hAnsi="Calibri" w:eastAsia="Calibri"/>
                <w:b w:val="0"/>
                <w:color w:val="222222"/>
                <w:sz w:val="17"/>
              </w:rPr>
              <w:t>202 Accepted; Hangfire HealthInformationOf</w:t>
            </w:r>
          </w:p>
        </w:tc>
      </w:tr>
      <w:tr>
        <w:tc>
          <w:tcPr>
            <w:tcW w:type="dxa" w:w="2551"/>
            <w:shd w:fill="F3F7FA" w:val="clear"/>
          </w:tcPr>
          <w:p>
            <w:pPr>
              <w:spacing w:after="0" w:before="0"/>
            </w:pPr>
            <w:r/>
            <w:r>
              <w:rPr>
                <w:rFonts w:ascii="Calibri" w:hAnsi="Calibri" w:eastAsia="Calibri"/>
                <w:b w:val="0"/>
                <w:color w:val="222222"/>
                <w:sz w:val="17"/>
              </w:rPr>
              <w:t>HIP callback</w:t>
            </w:r>
          </w:p>
        </w:tc>
        <w:tc>
          <w:tcPr>
            <w:tcW w:type="dxa" w:w="7087"/>
            <w:shd w:fill="F3F7FA" w:val="clear"/>
          </w:tcPr>
          <w:p>
            <w:pPr>
              <w:spacing w:after="0" w:before="0"/>
            </w:pPr>
            <w:r/>
            <w:r>
              <w:rPr>
                <w:rFonts w:ascii="Calibri" w:hAnsi="Calibri" w:eastAsia="Calibri"/>
                <w:b w:val="0"/>
                <w:color w:val="222222"/>
                <w:sz w:val="17"/>
              </w:rPr>
              <w:t>POST {Gateway.url}/api/hiecm/data-flow/v3/health-information/hip/on-request</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DataFlow.PatientDataFlowController</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Validate consent, persist request, enqueue collect/encrypt, acknowledge Gateway</w:t>
            </w:r>
          </w:p>
        </w:tc>
      </w:tr>
    </w:tbl>
    <w:p/>
    <w:p>
      <w:pPr>
        <w:spacing w:after="160" w:before="0" w:line="276" w:lineRule="auto"/>
      </w:pPr>
      <w:r>
        <w:rPr>
          <w:rFonts w:ascii="Calibri" w:hAnsi="Calibri" w:eastAsia="Calibri"/>
          <w:b w:val="0"/>
          <w:color w:val="222222"/>
          <w:sz w:val="20"/>
        </w:rPr>
        <w:t>Inbound headers: CORRELATION-ID, REQUEST-ID, TIMESTAMP, X-GatewayID (consent manager / gateway id).</w:t>
      </w:r>
    </w:p>
    <w:p>
      <w:pPr>
        <w:spacing w:after="80" w:before="0" w:line="276" w:lineRule="auto"/>
      </w:pPr>
      <w:r>
        <w:rPr>
          <w:rFonts w:ascii="Calibri" w:hAnsi="Calibri" w:eastAsia="Calibri"/>
          <w:b/>
          <w:color w:val="222222"/>
          <w:sz w:val="22"/>
        </w:rPr>
        <w:t>Gateway request body (PatientHealthInformationRequest)</w:t>
      </w:r>
    </w:p>
    <w:p>
      <w:pPr>
        <w:spacing w:after="160" w:before="80"/>
        <w:ind w:left="227"/>
        <w:shd w:fill="F4F6F8" w:val="clear"/>
      </w:pPr>
      <w:r>
        <w:rPr>
          <w:rFonts w:ascii="Consolas" w:hAnsi="Consolas" w:eastAsia="Consolas"/>
          <w:b w:val="0"/>
          <w:color w:val="1A1A1A"/>
          <w:sz w:val="18"/>
        </w:rPr>
        <w:t>{</w:t>
        <w:br/>
        <w:t xml:space="preserve">  "transactionId": "txn-uuid",</w:t>
        <w:br/>
        <w:t xml:space="preserve">  "hiRequest": {</w:t>
        <w:br/>
        <w:t xml:space="preserve">    "consent": { "id": "consent-uuid" },</w:t>
        <w:br/>
        <w:t xml:space="preserve">    "dateRange": {</w:t>
        <w:br/>
        <w:t xml:space="preserve">      "from": "2026-01-01T00:00:00.000Z",</w:t>
        <w:br/>
        <w:t xml:space="preserve">      "to": "2026-08-22T23:59:59.000Z"</w:t>
        <w:br/>
        <w:t xml:space="preserve">    },</w:t>
        <w:br/>
        <w:t xml:space="preserve">    "dataPushUrl": "https://hiu.example/api/v3/hiu/health-information/push",</w:t>
        <w:br/>
        <w:t xml:space="preserve">    "keyMaterial": {</w:t>
        <w:br/>
        <w:t xml:space="preserve">      "cryptoAlg": "ECDH",</w:t>
        <w:br/>
        <w:t xml:space="preserve">      "curve": "Curve25519",</w:t>
        <w:br/>
        <w:t xml:space="preserve">      "nonce": "&lt;base64-32-bytes&gt;",</w:t>
        <w:br/>
        <w:t xml:space="preserve">      "dhPublicKey": {</w:t>
        <w:br/>
        <w:t xml:space="preserve">        "expiry": "2026-08-23T00:00:00.000Z",</w:t>
        <w:br/>
        <w:t xml:space="preserve">        "parameters": "Curve25519/32byte random key",</w:t>
        <w:br/>
        <w:t xml:space="preserve">        "keyValue": "&lt;base64-HIU-public-key&gt;"</w:t>
        <w:br/>
        <w:t xml:space="preserve">      }</w:t>
        <w:br/>
        <w:t xml:space="preserve">    }</w:t>
        <w:br/>
        <w:t xml:space="preserve">  }</w:t>
        <w:br/>
        <w:t>}</w:t>
      </w:r>
    </w:p>
    <w:p>
      <w:pPr>
        <w:spacing w:after="80" w:before="0" w:line="276" w:lineRule="auto"/>
      </w:pPr>
      <w:r>
        <w:rPr>
          <w:rFonts w:ascii="Calibri" w:hAnsi="Calibri" w:eastAsia="Calibri"/>
          <w:b/>
          <w:color w:val="222222"/>
          <w:sz w:val="22"/>
        </w:rPr>
        <w:t>HIP processing before on-request:</w:t>
      </w:r>
    </w:p>
    <w:p>
      <w:pPr>
        <w:pStyle w:val="ListBullet"/>
        <w:spacing w:after="60"/>
        <w:ind w:left="709"/>
      </w:pPr>
      <w:r>
        <w:rPr>
          <w:rFonts w:ascii="Calibri" w:hAnsi="Calibri" w:eastAsia="Calibri"/>
          <w:b w:val="0"/>
          <w:color w:val="222222"/>
          <w:sz w:val="22"/>
        </w:rPr>
        <w:t>Load consent by hiRequest.consent.id. Missing artefact → error ContextArtefactIdNotFound.</w:t>
      </w:r>
    </w:p>
    <w:p>
      <w:pPr>
        <w:pStyle w:val="ListBullet"/>
        <w:spacing w:after="60"/>
        <w:ind w:left="709"/>
      </w:pPr>
      <w:r>
        <w:rPr>
          <w:rFonts w:ascii="Calibri" w:hAnsi="Calibri" w:eastAsia="Calibri"/>
          <w:b w:val="0"/>
          <w:color w:val="222222"/>
          <w:sz w:val="22"/>
        </w:rPr>
        <w:t>Resolve OpenMRS patientUuid from linked account of consent.patient.id. If empty, wait 5 seconds and retry (covers race with M2 link-confirm).</w:t>
      </w:r>
    </w:p>
    <w:p>
      <w:pPr>
        <w:pStyle w:val="ListBullet"/>
        <w:spacing w:after="60"/>
        <w:ind w:left="709"/>
      </w:pPr>
      <w:r>
        <w:rPr>
          <w:rFonts w:ascii="Calibri" w:hAnsi="Calibri" w:eastAsia="Calibri"/>
          <w:b w:val="0"/>
          <w:color w:val="222222"/>
          <w:sz w:val="22"/>
        </w:rPr>
        <w:t>Save HealthInformationRequest keyed by transactionId. Duplicate/DB failure → internal error.</w:t>
      </w:r>
    </w:p>
    <w:p>
      <w:pPr>
        <w:pStyle w:val="ListBullet"/>
        <w:spacing w:after="60"/>
        <w:ind w:left="709"/>
      </w:pPr>
      <w:r>
        <w:rPr>
          <w:rFonts w:ascii="Calibri" w:hAnsi="Calibri" w:eastAsia="Calibri"/>
          <w:b w:val="0"/>
          <w:color w:val="222222"/>
          <w:sz w:val="22"/>
        </w:rPr>
        <w:t>Reject if keyMaterial.dhPublicKey.expiry is already past (ErrorCode.ExpiredKeyPair).</w:t>
      </w:r>
    </w:p>
    <w:p>
      <w:pPr>
        <w:pStyle w:val="ListBullet"/>
        <w:spacing w:after="60"/>
        <w:ind w:left="709"/>
      </w:pPr>
      <w:r>
        <w:rPr>
          <w:rFonts w:ascii="Calibri" w:hAnsi="Calibri" w:eastAsia="Calibri"/>
          <w:b w:val="0"/>
          <w:color w:val="222222"/>
          <w:sz w:val="22"/>
        </w:rPr>
        <w:t>Publish DataRequest to RabbitMQ exchange hip-data-request (topic).</w:t>
      </w:r>
    </w:p>
    <w:p>
      <w:pPr>
        <w:spacing w:after="80" w:before="0" w:line="276" w:lineRule="auto"/>
      </w:pPr>
      <w:r>
        <w:rPr>
          <w:rFonts w:ascii="Calibri" w:hAnsi="Calibri" w:eastAsia="Calibri"/>
          <w:b/>
          <w:color w:val="222222"/>
          <w:sz w:val="22"/>
        </w:rPr>
        <w:t>HIP on-request body (success)</w:t>
      </w:r>
    </w:p>
    <w:p>
      <w:pPr>
        <w:spacing w:after="160" w:before="80"/>
        <w:ind w:left="227"/>
        <w:shd w:fill="F4F6F8" w:val="clear"/>
      </w:pPr>
      <w:r>
        <w:rPr>
          <w:rFonts w:ascii="Consolas" w:hAnsi="Consolas" w:eastAsia="Consolas"/>
          <w:b w:val="0"/>
          <w:color w:val="1A1A1A"/>
          <w:sz w:val="18"/>
        </w:rPr>
        <w:t>{</w:t>
        <w:br/>
        <w:t xml:space="preserve">  "hiRequest": {</w:t>
        <w:br/>
        <w:t xml:space="preserve">    "transactionId": "txn-uuid",</w:t>
        <w:br/>
        <w:t xml:space="preserve">    "sessionStatus": "ACKNOWLEDGED"</w:t>
        <w:br/>
        <w:t xml:space="preserve">  },</w:t>
        <w:br/>
        <w:t xml:space="preserve">  "error": null,</w:t>
        <w:br/>
        <w:t xml:space="preserve">  "resp": { "requestId": "&lt;inbound REQUEST-ID&gt;" }</w:t>
        <w:br/>
        <w:t>}</w:t>
      </w:r>
    </w:p>
    <w:p>
      <w:pPr>
        <w:spacing w:after="160" w:before="0" w:line="276" w:lineRule="auto"/>
      </w:pPr>
      <w:r>
        <w:rPr>
          <w:rFonts w:ascii="Calibri" w:hAnsi="Calibri" w:eastAsia="Calibri"/>
          <w:b w:val="0"/>
          <w:color w:val="222222"/>
          <w:sz w:val="20"/>
        </w:rPr>
        <w:t>On failure sessionStatus is ERRORED and error.code/message are set. cmSuffix on the callback is Gateway.CmSuffix.</w:t>
      </w:r>
    </w:p>
    <w:p>
      <w:pPr>
        <w:pStyle w:val="Heading2"/>
      </w:pPr>
      <w:r>
        <w:rPr>
          <w:rFonts w:ascii="Calibri" w:hAnsi="Calibri"/>
          <w:color w:val="1B3A5F"/>
        </w:rPr>
        <w:t>4.2 Collect FHIR from OpenMRS</w:t>
      </w:r>
    </w:p>
    <w:p>
      <w:pPr>
        <w:spacing w:after="160" w:before="0" w:line="276" w:lineRule="auto"/>
      </w:pPr>
      <w:r>
        <w:rPr>
          <w:rFonts w:ascii="Calibri" w:hAnsi="Calibri" w:eastAsia="Calibri"/>
          <w:b w:val="0"/>
          <w:color w:val="222222"/>
          <w:sz w:val="22"/>
        </w:rPr>
        <w:t>MessagingQueueListener consumes the queue and calls DataFlowMessageHandler. CollectHipService walks each granted care context and each consented hiType, then OpenMrsPatientData GETs Bahmni HIP REST.</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B3A5F" w:val="clear"/>
          </w:tcPr>
          <w:p>
            <w:pPr>
              <w:spacing w:after="0" w:before="0"/>
              <w:jc w:val="center"/>
            </w:pPr>
            <w:r/>
            <w:r>
              <w:rPr>
                <w:rFonts w:ascii="Calibri" w:hAnsi="Calibri" w:eastAsia="Calibri"/>
                <w:b/>
                <w:color w:val="FFFFFF"/>
                <w:sz w:val="18"/>
              </w:rPr>
              <w:t>hiType</w:t>
            </w:r>
          </w:p>
        </w:tc>
        <w:tc>
          <w:tcPr>
            <w:tcW w:type="dxa" w:w="3969"/>
            <w:shd w:fill="1B3A5F" w:val="clear"/>
          </w:tcPr>
          <w:p>
            <w:pPr>
              <w:spacing w:after="0" w:before="0"/>
              <w:jc w:val="center"/>
            </w:pPr>
            <w:r/>
            <w:r>
              <w:rPr>
                <w:rFonts w:ascii="Calibri" w:hAnsi="Calibri" w:eastAsia="Calibri"/>
                <w:b/>
                <w:color w:val="FFFFFF"/>
                <w:sz w:val="18"/>
              </w:rPr>
              <w:t>OpenMRS path root</w:t>
            </w:r>
          </w:p>
        </w:tc>
        <w:tc>
          <w:tcPr>
            <w:tcW w:type="dxa" w:w="3288"/>
            <w:shd w:fill="1B3A5F" w:val="clear"/>
          </w:tcPr>
          <w:p>
            <w:pPr>
              <w:spacing w:after="0" w:before="0"/>
              <w:jc w:val="center"/>
            </w:pPr>
            <w:r/>
            <w:r>
              <w:rPr>
                <w:rFonts w:ascii="Calibri" w:hAnsi="Calibri" w:eastAsia="Calibri"/>
                <w:b/>
                <w:color w:val="FFFFFF"/>
                <w:sz w:val="18"/>
              </w:rPr>
              <w:t>Query</w:t>
            </w:r>
          </w:p>
        </w:tc>
      </w:tr>
      <w:tr>
        <w:tc>
          <w:tcPr>
            <w:tcW w:type="dxa" w:w="2381"/>
          </w:tcPr>
          <w:p>
            <w:pPr>
              <w:spacing w:after="0" w:before="0"/>
            </w:pPr>
            <w:r/>
            <w:r>
              <w:rPr>
                <w:rFonts w:ascii="Calibri" w:hAnsi="Calibri" w:eastAsia="Calibri"/>
                <w:b w:val="0"/>
                <w:color w:val="222222"/>
                <w:sz w:val="17"/>
              </w:rPr>
              <w:t>OPConsultation</w:t>
            </w:r>
          </w:p>
        </w:tc>
        <w:tc>
          <w:tcPr>
            <w:tcW w:type="dxa" w:w="3969"/>
          </w:tcPr>
          <w:p>
            <w:pPr>
              <w:spacing w:after="0" w:before="0"/>
            </w:pPr>
            <w:r/>
            <w:r>
              <w:rPr>
                <w:rFonts w:ascii="Calibri" w:hAnsi="Calibri" w:eastAsia="Calibri"/>
                <w:b w:val="0"/>
                <w:color w:val="222222"/>
                <w:sz w:val="17"/>
              </w:rPr>
              <w:t>ws/rest/v1/hip/opConsults/visit</w:t>
            </w:r>
          </w:p>
        </w:tc>
        <w:tc>
          <w:tcPr>
            <w:tcW w:type="dxa" w:w="3288"/>
          </w:tcPr>
          <w:p>
            <w:pPr>
              <w:spacing w:after="0" w:before="0"/>
            </w:pPr>
            <w:r/>
            <w:r>
              <w:rPr>
                <w:rFonts w:ascii="Calibri" w:hAnsi="Calibri" w:eastAsia="Calibri"/>
                <w:b w:val="0"/>
                <w:color w:val="222222"/>
                <w:sz w:val="17"/>
              </w:rPr>
              <w:t>patientId, visitUuid, fromDate, toDate</w:t>
            </w:r>
          </w:p>
        </w:tc>
      </w:tr>
      <w:tr>
        <w:tc>
          <w:tcPr>
            <w:tcW w:type="dxa" w:w="2381"/>
            <w:shd w:fill="F3F7FA" w:val="clear"/>
          </w:tcPr>
          <w:p>
            <w:pPr>
              <w:spacing w:after="0" w:before="0"/>
            </w:pPr>
            <w:r/>
            <w:r>
              <w:rPr>
                <w:rFonts w:ascii="Calibri" w:hAnsi="Calibri" w:eastAsia="Calibri"/>
                <w:b w:val="0"/>
                <w:color w:val="222222"/>
                <w:sz w:val="17"/>
              </w:rPr>
              <w:t>Prescription</w:t>
            </w:r>
          </w:p>
        </w:tc>
        <w:tc>
          <w:tcPr>
            <w:tcW w:type="dxa" w:w="3969"/>
            <w:shd w:fill="F3F7FA" w:val="clear"/>
          </w:tcPr>
          <w:p>
            <w:pPr>
              <w:spacing w:after="0" w:before="0"/>
            </w:pPr>
            <w:r/>
            <w:r>
              <w:rPr>
                <w:rFonts w:ascii="Calibri" w:hAnsi="Calibri" w:eastAsia="Calibri"/>
                <w:b w:val="0"/>
                <w:color w:val="222222"/>
                <w:sz w:val="17"/>
              </w:rPr>
              <w:t>ws/rest/v1/hip/prescriptions/visit</w:t>
            </w:r>
          </w:p>
        </w:tc>
        <w:tc>
          <w:tcPr>
            <w:tcW w:type="dxa" w:w="3288"/>
            <w:shd w:fill="F3F7FA" w:val="clear"/>
          </w:tcPr>
          <w:p>
            <w:pPr>
              <w:spacing w:after="0" w:before="0"/>
            </w:pPr>
            <w:r/>
            <w:r>
              <w:rPr>
                <w:rFonts w:ascii="Calibri" w:hAnsi="Calibri" w:eastAsia="Calibri"/>
                <w:b w:val="0"/>
                <w:color w:val="222222"/>
                <w:sz w:val="17"/>
              </w:rPr>
              <w:t>same</w:t>
            </w:r>
          </w:p>
        </w:tc>
      </w:tr>
      <w:tr>
        <w:tc>
          <w:tcPr>
            <w:tcW w:type="dxa" w:w="2381"/>
          </w:tcPr>
          <w:p>
            <w:pPr>
              <w:spacing w:after="0" w:before="0"/>
            </w:pPr>
            <w:r/>
            <w:r>
              <w:rPr>
                <w:rFonts w:ascii="Calibri" w:hAnsi="Calibri" w:eastAsia="Calibri"/>
                <w:b w:val="0"/>
                <w:color w:val="222222"/>
                <w:sz w:val="17"/>
              </w:rPr>
              <w:t>DiagnosticReport</w:t>
            </w:r>
          </w:p>
        </w:tc>
        <w:tc>
          <w:tcPr>
            <w:tcW w:type="dxa" w:w="3969"/>
          </w:tcPr>
          <w:p>
            <w:pPr>
              <w:spacing w:after="0" w:before="0"/>
            </w:pPr>
            <w:r/>
            <w:r>
              <w:rPr>
                <w:rFonts w:ascii="Calibri" w:hAnsi="Calibri" w:eastAsia="Calibri"/>
                <w:b w:val="0"/>
                <w:color w:val="222222"/>
                <w:sz w:val="17"/>
              </w:rPr>
              <w:t>ws/rest/v1/hip/diagnosticReports/visit</w:t>
            </w:r>
          </w:p>
        </w:tc>
        <w:tc>
          <w:tcPr>
            <w:tcW w:type="dxa" w:w="3288"/>
          </w:tcPr>
          <w:p>
            <w:pPr>
              <w:spacing w:after="0" w:before="0"/>
            </w:pPr>
            <w:r/>
            <w:r>
              <w:rPr>
                <w:rFonts w:ascii="Calibri" w:hAnsi="Calibri" w:eastAsia="Calibri"/>
                <w:b w:val="0"/>
                <w:color w:val="222222"/>
                <w:sz w:val="17"/>
              </w:rPr>
              <w:t>same</w:t>
            </w:r>
          </w:p>
        </w:tc>
      </w:tr>
      <w:tr>
        <w:tc>
          <w:tcPr>
            <w:tcW w:type="dxa" w:w="2381"/>
            <w:shd w:fill="F3F7FA" w:val="clear"/>
          </w:tcPr>
          <w:p>
            <w:pPr>
              <w:spacing w:after="0" w:before="0"/>
            </w:pPr>
            <w:r/>
            <w:r>
              <w:rPr>
                <w:rFonts w:ascii="Calibri" w:hAnsi="Calibri" w:eastAsia="Calibri"/>
                <w:b w:val="0"/>
                <w:color w:val="222222"/>
                <w:sz w:val="17"/>
              </w:rPr>
              <w:t>DischargeSummary</w:t>
            </w:r>
          </w:p>
        </w:tc>
        <w:tc>
          <w:tcPr>
            <w:tcW w:type="dxa" w:w="3969"/>
            <w:shd w:fill="F3F7FA" w:val="clear"/>
          </w:tcPr>
          <w:p>
            <w:pPr>
              <w:spacing w:after="0" w:before="0"/>
            </w:pPr>
            <w:r/>
            <w:r>
              <w:rPr>
                <w:rFonts w:ascii="Calibri" w:hAnsi="Calibri" w:eastAsia="Calibri"/>
                <w:b w:val="0"/>
                <w:color w:val="222222"/>
                <w:sz w:val="17"/>
              </w:rPr>
              <w:t>ws/rest/v1/hip/dischargeSummary/visit</w:t>
            </w:r>
          </w:p>
        </w:tc>
        <w:tc>
          <w:tcPr>
            <w:tcW w:type="dxa" w:w="3288"/>
            <w:shd w:fill="F3F7FA" w:val="clear"/>
          </w:tcPr>
          <w:p>
            <w:pPr>
              <w:spacing w:after="0" w:before="0"/>
            </w:pPr>
            <w:r/>
            <w:r>
              <w:rPr>
                <w:rFonts w:ascii="Calibri" w:hAnsi="Calibri" w:eastAsia="Calibri"/>
                <w:b w:val="0"/>
                <w:color w:val="222222"/>
                <w:sz w:val="17"/>
              </w:rPr>
              <w:t>same</w:t>
            </w:r>
          </w:p>
        </w:tc>
      </w:tr>
      <w:tr>
        <w:tc>
          <w:tcPr>
            <w:tcW w:type="dxa" w:w="2381"/>
          </w:tcPr>
          <w:p>
            <w:pPr>
              <w:spacing w:after="0" w:before="0"/>
            </w:pPr>
            <w:r/>
            <w:r>
              <w:rPr>
                <w:rFonts w:ascii="Calibri" w:hAnsi="Calibri" w:eastAsia="Calibri"/>
                <w:b w:val="0"/>
                <w:color w:val="222222"/>
                <w:sz w:val="17"/>
              </w:rPr>
              <w:t>ImmunizationRecord</w:t>
            </w:r>
          </w:p>
        </w:tc>
        <w:tc>
          <w:tcPr>
            <w:tcW w:type="dxa" w:w="3969"/>
          </w:tcPr>
          <w:p>
            <w:pPr>
              <w:spacing w:after="0" w:before="0"/>
            </w:pPr>
            <w:r/>
            <w:r>
              <w:rPr>
                <w:rFonts w:ascii="Calibri" w:hAnsi="Calibri" w:eastAsia="Calibri"/>
                <w:b w:val="0"/>
                <w:color w:val="222222"/>
                <w:sz w:val="17"/>
              </w:rPr>
              <w:t>ws/rest/v1/hip/immunizationRecord/visit</w:t>
            </w:r>
          </w:p>
        </w:tc>
        <w:tc>
          <w:tcPr>
            <w:tcW w:type="dxa" w:w="3288"/>
          </w:tcPr>
          <w:p>
            <w:pPr>
              <w:spacing w:after="0" w:before="0"/>
            </w:pPr>
            <w:r/>
            <w:r>
              <w:rPr>
                <w:rFonts w:ascii="Calibri" w:hAnsi="Calibri" w:eastAsia="Calibri"/>
                <w:b w:val="0"/>
                <w:color w:val="222222"/>
                <w:sz w:val="17"/>
              </w:rPr>
              <w:t>same</w:t>
            </w:r>
          </w:p>
        </w:tc>
      </w:tr>
      <w:tr>
        <w:tc>
          <w:tcPr>
            <w:tcW w:type="dxa" w:w="2381"/>
            <w:shd w:fill="F3F7FA" w:val="clear"/>
          </w:tcPr>
          <w:p>
            <w:pPr>
              <w:spacing w:after="0" w:before="0"/>
            </w:pPr>
            <w:r/>
            <w:r>
              <w:rPr>
                <w:rFonts w:ascii="Calibri" w:hAnsi="Calibri" w:eastAsia="Calibri"/>
                <w:b w:val="0"/>
                <w:color w:val="222222"/>
                <w:sz w:val="17"/>
              </w:rPr>
              <w:t>HealthDocumentRecord</w:t>
            </w:r>
          </w:p>
        </w:tc>
        <w:tc>
          <w:tcPr>
            <w:tcW w:type="dxa" w:w="3969"/>
            <w:shd w:fill="F3F7FA" w:val="clear"/>
          </w:tcPr>
          <w:p>
            <w:pPr>
              <w:spacing w:after="0" w:before="0"/>
            </w:pPr>
            <w:r/>
            <w:r>
              <w:rPr>
                <w:rFonts w:ascii="Calibri" w:hAnsi="Calibri" w:eastAsia="Calibri"/>
                <w:b w:val="0"/>
                <w:color w:val="222222"/>
                <w:sz w:val="17"/>
              </w:rPr>
              <w:t>ws/rest/v1/hip/healthDocumentRecord/visit</w:t>
            </w:r>
          </w:p>
        </w:tc>
        <w:tc>
          <w:tcPr>
            <w:tcW w:type="dxa" w:w="3288"/>
            <w:shd w:fill="F3F7FA" w:val="clear"/>
          </w:tcPr>
          <w:p>
            <w:pPr>
              <w:spacing w:after="0" w:before="0"/>
            </w:pPr>
            <w:r/>
            <w:r>
              <w:rPr>
                <w:rFonts w:ascii="Calibri" w:hAnsi="Calibri" w:eastAsia="Calibri"/>
                <w:b w:val="0"/>
                <w:color w:val="222222"/>
                <w:sz w:val="17"/>
              </w:rPr>
              <w:t>same</w:t>
            </w:r>
          </w:p>
        </w:tc>
      </w:tr>
      <w:tr>
        <w:tc>
          <w:tcPr>
            <w:tcW w:type="dxa" w:w="2381"/>
          </w:tcPr>
          <w:p>
            <w:pPr>
              <w:spacing w:after="0" w:before="0"/>
            </w:pPr>
            <w:r/>
            <w:r>
              <w:rPr>
                <w:rFonts w:ascii="Calibri" w:hAnsi="Calibri" w:eastAsia="Calibri"/>
                <w:b w:val="0"/>
                <w:color w:val="222222"/>
                <w:sz w:val="17"/>
              </w:rPr>
              <w:t>WellnessRecord</w:t>
            </w:r>
          </w:p>
        </w:tc>
        <w:tc>
          <w:tcPr>
            <w:tcW w:type="dxa" w:w="3969"/>
          </w:tcPr>
          <w:p>
            <w:pPr>
              <w:spacing w:after="0" w:before="0"/>
            </w:pPr>
            <w:r/>
            <w:r>
              <w:rPr>
                <w:rFonts w:ascii="Calibri" w:hAnsi="Calibri" w:eastAsia="Calibri"/>
                <w:b w:val="0"/>
                <w:color w:val="222222"/>
                <w:sz w:val="17"/>
              </w:rPr>
              <w:t>ws/rest/v1/hip/wellnessRecord/visit</w:t>
            </w:r>
          </w:p>
        </w:tc>
        <w:tc>
          <w:tcPr>
            <w:tcW w:type="dxa" w:w="3288"/>
          </w:tcPr>
          <w:p>
            <w:pPr>
              <w:spacing w:after="0" w:before="0"/>
            </w:pPr>
            <w:r/>
            <w:r>
              <w:rPr>
                <w:rFonts w:ascii="Calibri" w:hAnsi="Calibri" w:eastAsia="Calibri"/>
                <w:b w:val="0"/>
                <w:color w:val="222222"/>
                <w:sz w:val="17"/>
              </w:rPr>
              <w:t>same</w:t>
            </w:r>
          </w:p>
        </w:tc>
      </w:tr>
      <w:tr>
        <w:tc>
          <w:tcPr>
            <w:tcW w:type="dxa" w:w="2381"/>
            <w:shd w:fill="F3F7FA" w:val="clear"/>
          </w:tcPr>
          <w:p>
            <w:pPr>
              <w:spacing w:after="0" w:before="0"/>
            </w:pPr>
            <w:r/>
            <w:r>
              <w:rPr>
                <w:rFonts w:ascii="Calibri" w:hAnsi="Calibri" w:eastAsia="Calibri"/>
                <w:b w:val="0"/>
                <w:color w:val="222222"/>
                <w:sz w:val="17"/>
              </w:rPr>
              <w:t>Invoice</w:t>
            </w:r>
          </w:p>
        </w:tc>
        <w:tc>
          <w:tcPr>
            <w:tcW w:type="dxa" w:w="3969"/>
            <w:shd w:fill="F3F7FA" w:val="clear"/>
          </w:tcPr>
          <w:p>
            <w:pPr>
              <w:spacing w:after="0" w:before="0"/>
            </w:pPr>
            <w:r/>
            <w:r>
              <w:rPr>
                <w:rFonts w:ascii="Calibri" w:hAnsi="Calibri" w:eastAsia="Calibri"/>
                <w:b w:val="0"/>
                <w:color w:val="222222"/>
                <w:sz w:val="17"/>
              </w:rPr>
              <w:t>ws/rest/v1/hip/invoice/visit</w:t>
            </w:r>
          </w:p>
        </w:tc>
        <w:tc>
          <w:tcPr>
            <w:tcW w:type="dxa" w:w="3288"/>
            <w:shd w:fill="F3F7FA" w:val="clear"/>
          </w:tcPr>
          <w:p>
            <w:pPr>
              <w:spacing w:after="0" w:before="0"/>
            </w:pPr>
            <w:r/>
            <w:r>
              <w:rPr>
                <w:rFonts w:ascii="Calibri" w:hAnsi="Calibri" w:eastAsia="Calibri"/>
                <w:b w:val="0"/>
                <w:color w:val="222222"/>
                <w:sz w:val="17"/>
              </w:rPr>
              <w:t>same</w:t>
            </w:r>
          </w:p>
        </w:tc>
      </w:tr>
    </w:tbl>
    <w:p/>
    <w:p>
      <w:pPr>
        <w:spacing w:after="160" w:before="0" w:line="276" w:lineRule="auto"/>
      </w:pPr>
      <w:r>
        <w:rPr>
          <w:rFonts w:ascii="Calibri" w:hAnsi="Calibri" w:eastAsia="Calibri"/>
          <w:b w:val="0"/>
          <w:color w:val="555555"/>
          <w:sz w:val="20"/>
        </w:rPr>
        <w:t>Visit care contexts: visitUuid is the part after “:” in careContextReference. fromDate is expanded by minus one day and toDate by plus one day (V3 date-range fix). Program care contexts matching “(ID Number:n)” use ws/rest/v1/hip/{root}/program/ with programName and programEnrollmentId instead of visitUuid.</w:t>
      </w:r>
    </w:p>
    <w:p>
      <w:pPr>
        <w:spacing w:after="160" w:before="0" w:line="276" w:lineRule="auto"/>
      </w:pPr>
      <w:r>
        <w:rPr>
          <w:rFonts w:ascii="Calibri" w:hAnsi="Calibri" w:eastAsia="Calibri"/>
          <w:b w:val="0"/>
          <w:color w:val="222222"/>
          <w:sz w:val="22"/>
        </w:rPr>
        <w:t>Each OpenMRS item’s bundle JSON is parsed as FHIR R4 Bundle and kept as CareBundle(careContextReference, bundleJson). Unknown hiType names are skipped.</w:t>
      </w:r>
    </w:p>
    <w:p>
      <w:pPr>
        <w:pStyle w:val="Heading2"/>
      </w:pPr>
      <w:r>
        <w:rPr>
          <w:rFonts w:ascii="Calibri" w:hAnsi="Calibri"/>
          <w:color w:val="1B3A5F"/>
        </w:rPr>
        <w:t>4.3 Encrypt (ECDH + AES-GCM)</w:t>
      </w:r>
    </w:p>
    <w:p>
      <w:pPr>
        <w:jc w:val="center"/>
      </w:pPr>
      <w:r>
        <w:drawing>
          <wp:inline xmlns:a="http://schemas.openxmlformats.org/drawingml/2006/main" xmlns:pic="http://schemas.openxmlformats.org/drawingml/2006/picture">
            <wp:extent cx="6035040" cy="4023360"/>
            <wp:docPr id="3" name="Picture 3"/>
            <wp:cNvGraphicFramePr>
              <a:graphicFrameLocks noChangeAspect="1"/>
            </wp:cNvGraphicFramePr>
            <a:graphic>
              <a:graphicData uri="http://schemas.openxmlformats.org/drawingml/2006/picture">
                <pic:pic>
                  <pic:nvPicPr>
                    <pic:cNvPr id="0" name="m3-encryption.png"/>
                    <pic:cNvPicPr/>
                  </pic:nvPicPr>
                  <pic:blipFill>
                    <a:blip r:embed="rId11"/>
                    <a:stretch>
                      <a:fillRect/>
                    </a:stretch>
                  </pic:blipFill>
                  <pic:spPr>
                    <a:xfrm>
                      <a:off x="0" y="0"/>
                      <a:ext cx="6035040" cy="4023360"/>
                    </a:xfrm>
                    <a:prstGeom prst="rect"/>
                  </pic:spPr>
                </pic:pic>
              </a:graphicData>
            </a:graphic>
          </wp:inline>
        </w:drawing>
      </w:r>
    </w:p>
    <w:p>
      <w:pPr>
        <w:spacing w:after="240"/>
        <w:jc w:val="center"/>
      </w:pPr>
      <w:r>
        <w:rPr>
          <w:rFonts w:ascii="Calibri" w:hAnsi="Calibri" w:eastAsia="Calibri"/>
          <w:b w:val="0"/>
          <w:color w:val="555555"/>
          <w:sz w:val="18"/>
        </w:rPr>
        <w:t>Figure 3. HIP derives a shared AES key with the HIU via ECDH, then AES-GCM encrypts each FHIR Bundle.</w:t>
      </w:r>
    </w:p>
    <w:p>
      <w:pPr>
        <w:spacing w:after="160" w:before="0" w:line="276" w:lineRule="auto"/>
      </w:pPr>
      <w:r>
        <w:rPr>
          <w:rFonts w:ascii="Calibri" w:hAnsi="Calibri" w:eastAsia="Calibri"/>
          <w:b w:val="0"/>
          <w:color w:val="222222"/>
          <w:sz w:val="22"/>
        </w:rPr>
        <w:t>DataEntryFactory generates an ephemeral EC key pair on the HIU’s curve (typically Curve25519) and a 32-byte HIP nonce. Encryptor derives a shared secret from the HIU dhPublicKey and HIP private key, XORs HIP nonce with HIU nonce, uses the first 20 bytes as salt and last 12 as IV, derives AES key, and encrypts UTF-8 FHIR JSON with AES-GCM (128-bit tag). Ciphertext is Base64. HIP returns its public key and nonce in the push payload so the HIU can decrypt.</w:t>
      </w:r>
    </w:p>
    <w:p>
      <w:pPr>
        <w:spacing w:after="80" w:before="0" w:line="276" w:lineRule="auto"/>
      </w:pPr>
      <w:r>
        <w:rPr>
          <w:rFonts w:ascii="Calibri" w:hAnsi="Calibri" w:eastAsia="Calibri"/>
          <w:b/>
          <w:color w:val="222222"/>
          <w:sz w:val="22"/>
        </w:rPr>
        <w:t>If Unicode byte size of ciphertext &gt;= dataFlow.dataSizeLimitInMbs (default 5 MB):</w:t>
      </w:r>
    </w:p>
    <w:p>
      <w:pPr>
        <w:pStyle w:val="ListBullet"/>
        <w:spacing w:after="60"/>
        <w:ind w:left="709"/>
      </w:pPr>
      <w:r>
        <w:rPr>
          <w:rFonts w:ascii="Calibri" w:hAnsi="Calibri" w:eastAsia="Calibri"/>
          <w:b w:val="0"/>
          <w:color w:val="222222"/>
          <w:sz w:val="22"/>
        </w:rPr>
        <w:t>HIP stores the encrypted entry in HealthInformation with a random informationId and token.</w:t>
      </w:r>
    </w:p>
    <w:p>
      <w:pPr>
        <w:pStyle w:val="ListBullet"/>
        <w:spacing w:after="60"/>
        <w:ind w:left="709"/>
      </w:pPr>
      <w:r>
        <w:rPr>
          <w:rFonts w:ascii="Calibri" w:hAnsi="Calibri" w:eastAsia="Calibri"/>
          <w:b w:val="0"/>
          <w:color w:val="222222"/>
          <w:sz w:val="22"/>
        </w:rPr>
        <w:t>Push payload contains a link instead of content: {hip.url}/health-information/{id}?token={token}.</w:t>
      </w:r>
    </w:p>
    <w:p>
      <w:pPr>
        <w:pStyle w:val="ListBullet"/>
        <w:spacing w:after="60"/>
        <w:ind w:left="709"/>
      </w:pPr>
      <w:r>
        <w:rPr>
          <w:rFonts w:ascii="Calibri" w:hAnsi="Calibri" w:eastAsia="Calibri"/>
          <w:b w:val="0"/>
          <w:color w:val="222222"/>
          <w:sz w:val="22"/>
        </w:rPr>
        <w:t>HIU later GET that URL; HIP returns content if token matches and DataLinkTtlInMinutes (default 10) has not expired.</w:t>
      </w:r>
    </w:p>
    <w:p>
      <w:pPr>
        <w:spacing w:after="160" w:before="0" w:line="276" w:lineRule="auto"/>
      </w:pPr>
      <w:r>
        <w:rPr>
          <w:rFonts w:ascii="Calibri" w:hAnsi="Calibri" w:eastAsia="Calibri"/>
          <w:b w:val="0"/>
          <w:color w:val="555555"/>
          <w:sz w:val="20"/>
        </w:rPr>
        <w:t>Checksum on entries is currently the literal string iplit-md5 when a bundle exists.</w:t>
      </w:r>
    </w:p>
    <w:p>
      <w:pPr>
        <w:pStyle w:val="Heading2"/>
      </w:pPr>
      <w:r>
        <w:rPr>
          <w:rFonts w:ascii="Calibri" w:hAnsi="Calibri"/>
          <w:color w:val="1B3A5F"/>
        </w:rPr>
        <w:t>4.4 Push encrypted data to HIU</w:t>
      </w:r>
    </w:p>
    <w:p>
      <w:pPr>
        <w:pStyle w:val="Heading3"/>
      </w:pPr>
      <w:r>
        <w:rPr>
          <w:rFonts w:ascii="Calibri" w:hAnsi="Calibri"/>
          <w:color w:val="0D7373"/>
        </w:rPr>
        <w:t>Data push (HIP to HIU)</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HIP -&gt; HIU dataPushUrl (not via HIE-CM body routing)</w:t>
            </w:r>
          </w:p>
        </w:tc>
      </w:tr>
      <w:tr>
        <w:tc>
          <w:tcPr>
            <w:tcW w:type="dxa" w:w="2551"/>
            <w:shd w:fill="F3F7FA" w:val="clear"/>
          </w:tcPr>
          <w:p>
            <w:pPr>
              <w:spacing w:after="0" w:before="0"/>
            </w:pPr>
            <w:r/>
            <w:r>
              <w:rPr>
                <w:rFonts w:ascii="Calibri" w:hAnsi="Calibri" w:eastAsia="Calibri"/>
                <w:b w:val="0"/>
                <w:color w:val="222222"/>
                <w:sz w:val="17"/>
              </w:rPr>
              <w:t>HTTP</w:t>
            </w:r>
          </w:p>
        </w:tc>
        <w:tc>
          <w:tcPr>
            <w:tcW w:type="dxa" w:w="7087"/>
            <w:shd w:fill="F3F7FA" w:val="clear"/>
          </w:tcPr>
          <w:p>
            <w:pPr>
              <w:spacing w:after="0" w:before="0"/>
            </w:pPr>
            <w:r/>
            <w:r>
              <w:rPr>
                <w:rFonts w:ascii="Calibri" w:hAnsi="Calibri" w:eastAsia="Calibri"/>
                <w:b w:val="0"/>
                <w:color w:val="222222"/>
                <w:sz w:val="17"/>
              </w:rPr>
              <w:t>POST {hiRequest.dataPushUrl}</w:t>
            </w:r>
          </w:p>
        </w:tc>
      </w:tr>
      <w:tr>
        <w:tc>
          <w:tcPr>
            <w:tcW w:type="dxa" w:w="2551"/>
          </w:tcPr>
          <w:p>
            <w:pPr>
              <w:spacing w:after="0" w:before="0"/>
            </w:pPr>
            <w:r/>
            <w:r>
              <w:rPr>
                <w:rFonts w:ascii="Calibri" w:hAnsi="Calibri" w:eastAsia="Calibri"/>
                <w:b w:val="0"/>
                <w:color w:val="222222"/>
                <w:sz w:val="17"/>
              </w:rPr>
              <w:t>Auth</w:t>
            </w:r>
          </w:p>
        </w:tc>
        <w:tc>
          <w:tcPr>
            <w:tcW w:type="dxa" w:w="7087"/>
          </w:tcPr>
          <w:p>
            <w:pPr>
              <w:spacing w:after="0" w:before="0"/>
            </w:pPr>
            <w:r/>
            <w:r>
              <w:rPr>
                <w:rFonts w:ascii="Calibri" w:hAnsi="Calibri" w:eastAsia="Calibri"/>
                <w:b w:val="0"/>
                <w:color w:val="222222"/>
                <w:sz w:val="17"/>
              </w:rPr>
              <w:t>Gateway session token (Authorization Bearer) plus REQUEST-ID, TIMESTAMP, X-CM-ID, CORRELATION-ID</w:t>
            </w:r>
          </w:p>
        </w:tc>
      </w:tr>
      <w:tr>
        <w:tc>
          <w:tcPr>
            <w:tcW w:type="dxa" w:w="2551"/>
            <w:shd w:fill="F3F7FA" w:val="clear"/>
          </w:tcPr>
          <w:p>
            <w:pPr>
              <w:spacing w:after="0" w:before="0"/>
            </w:pPr>
            <w:r/>
            <w:r>
              <w:rPr>
                <w:rFonts w:ascii="Calibri" w:hAnsi="Calibri" w:eastAsia="Calibri"/>
                <w:b w:val="0"/>
                <w:color w:val="222222"/>
                <w:sz w:val="17"/>
              </w:rPr>
              <w:t>Facility header</w:t>
            </w:r>
          </w:p>
        </w:tc>
        <w:tc>
          <w:tcPr>
            <w:tcW w:type="dxa" w:w="7087"/>
            <w:shd w:fill="F3F7FA" w:val="clear"/>
          </w:tcPr>
          <w:p>
            <w:pPr>
              <w:spacing w:after="0" w:before="0"/>
            </w:pPr>
            <w:r/>
            <w:r>
              <w:rPr>
                <w:rFonts w:ascii="Calibri" w:hAnsi="Calibri" w:eastAsia="Calibri"/>
                <w:b w:val="0"/>
                <w:color w:val="222222"/>
                <w:sz w:val="17"/>
              </w:rPr>
              <w:t>CreateHttpRequestWithContentType sets X-HIU-ID to the visit HFR id</w:t>
            </w:r>
          </w:p>
        </w:tc>
      </w:tr>
      <w:tr>
        <w:tc>
          <w:tcPr>
            <w:tcW w:type="dxa" w:w="2551"/>
          </w:tcPr>
          <w:p>
            <w:pPr>
              <w:spacing w:after="0" w:before="0"/>
            </w:pPr>
            <w:r/>
            <w:r>
              <w:rPr>
                <w:rFonts w:ascii="Calibri" w:hAnsi="Calibri" w:eastAsia="Calibri"/>
                <w:b w:val="0"/>
                <w:color w:val="222222"/>
                <w:sz w:val="17"/>
              </w:rPr>
              <w:t>Content-Type</w:t>
            </w:r>
          </w:p>
        </w:tc>
        <w:tc>
          <w:tcPr>
            <w:tcW w:type="dxa" w:w="7087"/>
          </w:tcPr>
          <w:p>
            <w:pPr>
              <w:spacing w:after="0" w:before="0"/>
            </w:pPr>
            <w:r/>
            <w:r>
              <w:rPr>
                <w:rFonts w:ascii="Calibri" w:hAnsi="Calibri" w:eastAsia="Calibri"/>
                <w:b w:val="0"/>
                <w:color w:val="222222"/>
                <w:sz w:val="17"/>
              </w:rPr>
              <w:t>application/json (payload); entries.media is application/fhir+json</w:t>
            </w:r>
          </w:p>
        </w:tc>
      </w:tr>
      <w:tr>
        <w:tc>
          <w:tcPr>
            <w:tcW w:type="dxa" w:w="2551"/>
            <w:shd w:fill="F3F7FA" w:val="clear"/>
          </w:tcPr>
          <w:p>
            <w:pPr>
              <w:spacing w:after="0" w:before="0"/>
            </w:pPr>
            <w:r/>
            <w:r>
              <w:rPr>
                <w:rFonts w:ascii="Calibri" w:hAnsi="Calibri" w:eastAsia="Calibri"/>
                <w:b w:val="0"/>
                <w:color w:val="222222"/>
                <w:sz w:val="17"/>
              </w:rPr>
              <w:t>Class</w:t>
            </w:r>
          </w:p>
        </w:tc>
        <w:tc>
          <w:tcPr>
            <w:tcW w:type="dxa" w:w="7087"/>
            <w:shd w:fill="F3F7FA" w:val="clear"/>
          </w:tcPr>
          <w:p>
            <w:pPr>
              <w:spacing w:after="0" w:before="0"/>
            </w:pPr>
            <w:r/>
            <w:r>
              <w:rPr>
                <w:rFonts w:ascii="Calibri" w:hAnsi="Calibri" w:eastAsia="Calibri"/>
                <w:b w:val="0"/>
                <w:color w:val="222222"/>
                <w:sz w:val="17"/>
              </w:rPr>
              <w:t>DataFlow.DataFlowClient.SendDataToHiu</w:t>
            </w:r>
          </w:p>
        </w:tc>
      </w:tr>
    </w:tbl>
    <w:p/>
    <w:p>
      <w:pPr>
        <w:spacing w:after="160" w:before="0" w:line="276" w:lineRule="auto"/>
      </w:pPr>
      <w:r>
        <w:rPr>
          <w:rFonts w:ascii="Calibri" w:hAnsi="Calibri" w:eastAsia="Calibri"/>
          <w:b w:val="0"/>
          <w:color w:val="222222"/>
          <w:sz w:val="20"/>
        </w:rPr>
        <w:t>HFR id is taken from the first granted care context’s visitUuid (same M2 location-attribute cache). If missing, HIP loads it from OpenMRS or uses the default Bahmni hip id. Transaction_Id header is the data transactionId.</w:t>
      </w:r>
    </w:p>
    <w:p>
      <w:pPr>
        <w:spacing w:after="80" w:before="0" w:line="276" w:lineRule="auto"/>
      </w:pPr>
      <w:r>
        <w:rPr>
          <w:rFonts w:ascii="Calibri" w:hAnsi="Calibri" w:eastAsia="Calibri"/>
          <w:b/>
          <w:color w:val="222222"/>
          <w:sz w:val="22"/>
        </w:rPr>
        <w:t>HIP push body (DataResponse)</w:t>
      </w:r>
    </w:p>
    <w:p>
      <w:pPr>
        <w:spacing w:after="160" w:before="80"/>
        <w:ind w:left="227"/>
        <w:shd w:fill="F4F6F8" w:val="clear"/>
      </w:pPr>
      <w:r>
        <w:rPr>
          <w:rFonts w:ascii="Consolas" w:hAnsi="Consolas" w:eastAsia="Consolas"/>
          <w:b w:val="0"/>
          <w:color w:val="1A1A1A"/>
          <w:sz w:val="18"/>
        </w:rPr>
        <w:t>{</w:t>
        <w:br/>
        <w:t xml:space="preserve">  "pageNumber": 0,</w:t>
        <w:br/>
        <w:t xml:space="preserve">  "pageCount": 1,</w:t>
        <w:br/>
        <w:t xml:space="preserve">  "transactionId": "txn-uuid",</w:t>
        <w:br/>
        <w:t xml:space="preserve">  "entries": [</w:t>
        <w:br/>
        <w:t xml:space="preserve">    {</w:t>
        <w:br/>
        <w:t xml:space="preserve">      "content": "&lt;base64-AES-GCM-ciphertext&gt;",</w:t>
        <w:br/>
        <w:t xml:space="preserve">      "media": "application/fhir+json",</w:t>
        <w:br/>
        <w:t xml:space="preserve">      "checksum": "iplit-md5",</w:t>
        <w:br/>
        <w:t xml:space="preserve">      "careContextReference": "openMrsPatientUuid:visitUuid"</w:t>
        <w:br/>
        <w:t xml:space="preserve">    }</w:t>
        <w:br/>
        <w:t xml:space="preserve">  ],</w:t>
        <w:br/>
        <w:t xml:space="preserve">  "keyMaterial": {</w:t>
        <w:br/>
        <w:t xml:space="preserve">    "cryptoAlg": "ECDH",</w:t>
        <w:br/>
        <w:t xml:space="preserve">    "curve": "Curve25519",</w:t>
        <w:br/>
        <w:t xml:space="preserve">    "nonce": "&lt;HIP-base64-nonce&gt;",</w:t>
        <w:br/>
        <w:t xml:space="preserve">    "dhPublicKey": {</w:t>
        <w:br/>
        <w:t xml:space="preserve">      "expiry": "&lt;copied from HIU key expiry&gt;",</w:t>
        <w:br/>
        <w:t xml:space="preserve">      "parameters": "&lt;copied from HIU&gt;",</w:t>
        <w:br/>
        <w:t xml:space="preserve">      "keyValue": "&lt;HIP-ephemeral-public-key-base64&gt;"</w:t>
        <w:br/>
        <w:t xml:space="preserve">    }</w:t>
        <w:br/>
        <w:t xml:space="preserve">  }</w:t>
        <w:br/>
        <w:t>}</w:t>
      </w:r>
    </w:p>
    <w:p>
      <w:pPr>
        <w:pStyle w:val="Heading2"/>
      </w:pPr>
      <w:r>
        <w:rPr>
          <w:rFonts w:ascii="Calibri" w:hAnsi="Calibri"/>
          <w:color w:val="1B3A5F"/>
        </w:rPr>
        <w:t>4.5 Notify Gateway of transfer status</w:t>
      </w:r>
    </w:p>
    <w:p>
      <w:pPr>
        <w:pStyle w:val="Heading3"/>
      </w:pPr>
      <w:r>
        <w:rPr>
          <w:rFonts w:ascii="Calibri" w:hAnsi="Calibri"/>
          <w:color w:val="0D7373"/>
        </w:rPr>
        <w:t>Health-information notify (HIP to Gateway)</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HIP -&gt; Gateway</w:t>
            </w:r>
          </w:p>
        </w:tc>
      </w:tr>
      <w:tr>
        <w:tc>
          <w:tcPr>
            <w:tcW w:type="dxa" w:w="2551"/>
            <w:shd w:fill="F3F7FA" w:val="clear"/>
          </w:tcPr>
          <w:p>
            <w:pPr>
              <w:spacing w:after="0" w:before="0"/>
            </w:pPr>
            <w:r/>
            <w:r>
              <w:rPr>
                <w:rFonts w:ascii="Calibri" w:hAnsi="Calibri" w:eastAsia="Calibri"/>
                <w:b w:val="0"/>
                <w:color w:val="222222"/>
                <w:sz w:val="17"/>
              </w:rPr>
              <w:t>Gateway path</w:t>
            </w:r>
          </w:p>
        </w:tc>
        <w:tc>
          <w:tcPr>
            <w:tcW w:type="dxa" w:w="7087"/>
            <w:shd w:fill="F3F7FA" w:val="clear"/>
          </w:tcPr>
          <w:p>
            <w:pPr>
              <w:spacing w:after="0" w:before="0"/>
            </w:pPr>
            <w:r/>
            <w:r>
              <w:rPr>
                <w:rFonts w:ascii="Calibri" w:hAnsi="Calibri" w:eastAsia="Calibri"/>
                <w:b w:val="0"/>
                <w:color w:val="222222"/>
                <w:sz w:val="17"/>
              </w:rPr>
              <w:t>POST /api/hiecm/data-flow/v3/health-information/notify</w:t>
            </w:r>
          </w:p>
        </w:tc>
      </w:tr>
      <w:tr>
        <w:tc>
          <w:tcPr>
            <w:tcW w:type="dxa" w:w="2551"/>
          </w:tcPr>
          <w:p>
            <w:pPr>
              <w:spacing w:after="0" w:before="0"/>
            </w:pPr>
            <w:r/>
            <w:r>
              <w:rPr>
                <w:rFonts w:ascii="Calibri" w:hAnsi="Calibri" w:eastAsia="Calibri"/>
                <w:b w:val="0"/>
                <w:color w:val="222222"/>
                <w:sz w:val="17"/>
              </w:rPr>
              <w:t>Class</w:t>
            </w:r>
          </w:p>
        </w:tc>
        <w:tc>
          <w:tcPr>
            <w:tcW w:type="dxa" w:w="7087"/>
          </w:tcPr>
          <w:p>
            <w:pPr>
              <w:spacing w:after="0" w:before="0"/>
            </w:pPr>
            <w:r/>
            <w:r>
              <w:rPr>
                <w:rFonts w:ascii="Calibri" w:hAnsi="Calibri" w:eastAsia="Calibri"/>
                <w:b w:val="0"/>
                <w:color w:val="222222"/>
                <w:sz w:val="17"/>
              </w:rPr>
              <w:t>DataFlowNotificationClient.NotifyGateway</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Tell ABDM whether the session TRANSFERRED or FAILED, per care context</w:t>
            </w:r>
          </w:p>
        </w:tc>
      </w:tr>
    </w:tbl>
    <w:p/>
    <w:p>
      <w:pPr>
        <w:spacing w:after="160" w:before="0" w:line="276" w:lineRule="auto"/>
      </w:pPr>
      <w:r>
        <w:rPr>
          <w:rFonts w:ascii="Calibri" w:hAnsi="Calibri" w:eastAsia="Calibri"/>
          <w:b w:val="0"/>
          <w:color w:val="222222"/>
          <w:sz w:val="20"/>
        </w:rPr>
        <w:t>Always sent after the push attempt (success or catch). sessionStatus TRANSFERRED and hiStatus DELIVERED when the HTTP send to dataPushUrl succeeded and gateway authenticate succeeded; otherwise FAILED / ERRORED. notifier.type is HIP; notifier.id is Gateway.ClientId. hipId in statusNotification is the visit HFR id. doneAt is UTC DateTime.Today formatted yyyy-MM-ddTHH:mm:ss.fffZ.</w:t>
      </w:r>
    </w:p>
    <w:p>
      <w:pPr>
        <w:spacing w:after="80" w:before="0" w:line="276" w:lineRule="auto"/>
      </w:pPr>
      <w:r>
        <w:rPr>
          <w:rFonts w:ascii="Calibri" w:hAnsi="Calibri" w:eastAsia="Calibri"/>
          <w:b/>
          <w:color w:val="222222"/>
          <w:sz w:val="22"/>
        </w:rPr>
        <w:t>HIP notify body (GatewayDataNotificationRequest wrapper)</w:t>
      </w:r>
    </w:p>
    <w:p>
      <w:pPr>
        <w:spacing w:after="160" w:before="80"/>
        <w:ind w:left="227"/>
        <w:shd w:fill="F4F6F8" w:val="clear"/>
      </w:pPr>
      <w:r>
        <w:rPr>
          <w:rFonts w:ascii="Consolas" w:hAnsi="Consolas" w:eastAsia="Consolas"/>
          <w:b w:val="0"/>
          <w:color w:val="1A1A1A"/>
          <w:sz w:val="18"/>
        </w:rPr>
        <w:t>{</w:t>
        <w:br/>
        <w:t xml:space="preserve">  "notification": {</w:t>
        <w:br/>
        <w:t xml:space="preserve">    "transactionId": "txn-uuid",</w:t>
        <w:br/>
        <w:t xml:space="preserve">    "consentId": "consent-uuid",</w:t>
        <w:br/>
        <w:t xml:space="preserve">    "doneAt": "2026-08-22T00:00:00.000Z",</w:t>
        <w:br/>
        <w:t xml:space="preserve">    "notifier": { "type": "HIP", "id": "&lt;clientId&gt;" },</w:t>
        <w:br/>
        <w:t xml:space="preserve">    "statusNotification": {</w:t>
        <w:br/>
        <w:t xml:space="preserve">      "sessionStatus": "TRANSFERRED",</w:t>
        <w:br/>
        <w:t xml:space="preserve">      "hipId": "IN2710001820",</w:t>
        <w:br/>
        <w:t xml:space="preserve">      "statusResponses": [</w:t>
        <w:br/>
        <w:t xml:space="preserve">        {</w:t>
        <w:br/>
        <w:t xml:space="preserve">          "careContextReference": "openMrsPatientUuid:visitUuid",</w:t>
        <w:br/>
        <w:t xml:space="preserve">          "hiStatus": "DELIVERED",</w:t>
        <w:br/>
        <w:t xml:space="preserve">          "description": "Successfully delivered health information"</w:t>
        <w:br/>
        <w:t xml:space="preserve">        }</w:t>
        <w:br/>
        <w:t xml:space="preserve">      ]</w:t>
        <w:br/>
        <w:t xml:space="preserve">    }</w:t>
        <w:br/>
        <w:t xml:space="preserve">  }</w:t>
        <w:br/>
        <w:t>}</w:t>
      </w:r>
    </w:p>
    <w:p>
      <w:pPr>
        <w:pStyle w:val="Heading2"/>
      </w:pPr>
      <w:r>
        <w:rPr>
          <w:rFonts w:ascii="Calibri" w:hAnsi="Calibri"/>
          <w:color w:val="1B3A5F"/>
        </w:rPr>
        <w:t>4.6 Optional: HIU fetches a large-payload link</w:t>
      </w:r>
    </w:p>
    <w:p>
      <w:pPr>
        <w:pStyle w:val="Heading3"/>
      </w:pPr>
      <w:r>
        <w:rPr>
          <w:rFonts w:ascii="Calibri" w:hAnsi="Calibri"/>
          <w:color w:val="0D7373"/>
        </w:rPr>
        <w:t>Health information by link (HIU to HIP)</w:t>
      </w:r>
    </w:p>
    <w:tbl>
      <w:tblPr>
        <w:tblStyle w:val="TableGrid"/>
        <w:tblW w:type="auto" w:w="0"/>
        <w:jc w:val="center"/>
        <w:tblLook w:firstColumn="1" w:firstRow="1" w:lastColumn="0" w:lastRow="0" w:noHBand="0" w:noVBand="1" w:val="04A0"/>
      </w:tblPr>
      <w:tblGrid>
        <w:gridCol w:w="5100"/>
        <w:gridCol w:w="5100"/>
      </w:tblGrid>
      <w:tr>
        <w:tc>
          <w:tcPr>
            <w:tcW w:type="dxa" w:w="2551"/>
            <w:shd w:fill="1B3A5F" w:val="clear"/>
          </w:tcPr>
          <w:p>
            <w:pPr>
              <w:spacing w:after="0" w:before="0"/>
              <w:jc w:val="center"/>
            </w:pPr>
            <w:r/>
            <w:r>
              <w:rPr>
                <w:rFonts w:ascii="Calibri" w:hAnsi="Calibri" w:eastAsia="Calibri"/>
                <w:b/>
                <w:color w:val="FFFFFF"/>
                <w:sz w:val="18"/>
              </w:rPr>
              <w:t>Item</w:t>
            </w:r>
          </w:p>
        </w:tc>
        <w:tc>
          <w:tcPr>
            <w:tcW w:type="dxa" w:w="7087"/>
            <w:shd w:fill="1B3A5F" w:val="clear"/>
          </w:tcPr>
          <w:p>
            <w:pPr>
              <w:spacing w:after="0" w:before="0"/>
              <w:jc w:val="center"/>
            </w:pPr>
            <w:r/>
            <w:r>
              <w:rPr>
                <w:rFonts w:ascii="Calibri" w:hAnsi="Calibri" w:eastAsia="Calibri"/>
                <w:b/>
                <w:color w:val="FFFFFF"/>
                <w:sz w:val="18"/>
              </w:rPr>
              <w:t>Value</w:t>
            </w:r>
          </w:p>
        </w:tc>
      </w:tr>
      <w:tr>
        <w:tc>
          <w:tcPr>
            <w:tcW w:type="dxa" w:w="2551"/>
          </w:tcPr>
          <w:p>
            <w:pPr>
              <w:spacing w:after="0" w:before="0"/>
            </w:pPr>
            <w:r/>
            <w:r>
              <w:rPr>
                <w:rFonts w:ascii="Calibri" w:hAnsi="Calibri" w:eastAsia="Calibri"/>
                <w:b w:val="0"/>
                <w:color w:val="222222"/>
                <w:sz w:val="17"/>
              </w:rPr>
              <w:t>Direction</w:t>
            </w:r>
          </w:p>
        </w:tc>
        <w:tc>
          <w:tcPr>
            <w:tcW w:type="dxa" w:w="7087"/>
          </w:tcPr>
          <w:p>
            <w:pPr>
              <w:spacing w:after="0" w:before="0"/>
            </w:pPr>
            <w:r/>
            <w:r>
              <w:rPr>
                <w:rFonts w:ascii="Calibri" w:hAnsi="Calibri" w:eastAsia="Calibri"/>
                <w:b w:val="0"/>
                <w:color w:val="222222"/>
                <w:sz w:val="17"/>
              </w:rPr>
              <w:t>HIU -&gt; HIP</w:t>
            </w:r>
          </w:p>
        </w:tc>
      </w:tr>
      <w:tr>
        <w:tc>
          <w:tcPr>
            <w:tcW w:type="dxa" w:w="2551"/>
            <w:shd w:fill="F3F7FA" w:val="clear"/>
          </w:tcPr>
          <w:p>
            <w:pPr>
              <w:spacing w:after="0" w:before="0"/>
            </w:pPr>
            <w:r/>
            <w:r>
              <w:rPr>
                <w:rFonts w:ascii="Calibri" w:hAnsi="Calibri" w:eastAsia="Calibri"/>
                <w:b w:val="0"/>
                <w:color w:val="222222"/>
                <w:sz w:val="17"/>
              </w:rPr>
              <w:t>HIP path</w:t>
            </w:r>
          </w:p>
        </w:tc>
        <w:tc>
          <w:tcPr>
            <w:tcW w:type="dxa" w:w="7087"/>
            <w:shd w:fill="F3F7FA" w:val="clear"/>
          </w:tcPr>
          <w:p>
            <w:pPr>
              <w:spacing w:after="0" w:before="0"/>
            </w:pPr>
            <w:r/>
            <w:r>
              <w:rPr>
                <w:rFonts w:ascii="Calibri" w:hAnsi="Calibri" w:eastAsia="Calibri"/>
                <w:b w:val="0"/>
                <w:color w:val="222222"/>
                <w:sz w:val="17"/>
              </w:rPr>
              <w:t>GET /health-information/{informationId}?token={token}</w:t>
            </w:r>
          </w:p>
        </w:tc>
      </w:tr>
      <w:tr>
        <w:tc>
          <w:tcPr>
            <w:tcW w:type="dxa" w:w="2551"/>
          </w:tcPr>
          <w:p>
            <w:pPr>
              <w:spacing w:after="0" w:before="0"/>
            </w:pPr>
            <w:r/>
            <w:r>
              <w:rPr>
                <w:rFonts w:ascii="Calibri" w:hAnsi="Calibri" w:eastAsia="Calibri"/>
                <w:b w:val="0"/>
                <w:color w:val="222222"/>
                <w:sz w:val="17"/>
              </w:rPr>
              <w:t>Controller</w:t>
            </w:r>
          </w:p>
        </w:tc>
        <w:tc>
          <w:tcPr>
            <w:tcW w:type="dxa" w:w="7087"/>
          </w:tcPr>
          <w:p>
            <w:pPr>
              <w:spacing w:after="0" w:before="0"/>
            </w:pPr>
            <w:r/>
            <w:r>
              <w:rPr>
                <w:rFonts w:ascii="Calibri" w:hAnsi="Calibri" w:eastAsia="Calibri"/>
                <w:b w:val="0"/>
                <w:color w:val="222222"/>
                <w:sz w:val="17"/>
              </w:rPr>
              <w:t>DataFlow.DataFlowController.HealthInformation</w:t>
            </w:r>
          </w:p>
        </w:tc>
      </w:tr>
      <w:tr>
        <w:tc>
          <w:tcPr>
            <w:tcW w:type="dxa" w:w="2551"/>
            <w:shd w:fill="F3F7FA" w:val="clear"/>
          </w:tcPr>
          <w:p>
            <w:pPr>
              <w:spacing w:after="0" w:before="0"/>
            </w:pPr>
            <w:r/>
            <w:r>
              <w:rPr>
                <w:rFonts w:ascii="Calibri" w:hAnsi="Calibri" w:eastAsia="Calibri"/>
                <w:b w:val="0"/>
                <w:color w:val="222222"/>
                <w:sz w:val="17"/>
              </w:rPr>
              <w:t>Purpose</w:t>
            </w:r>
          </w:p>
        </w:tc>
        <w:tc>
          <w:tcPr>
            <w:tcW w:type="dxa" w:w="7087"/>
            <w:shd w:fill="F3F7FA" w:val="clear"/>
          </w:tcPr>
          <w:p>
            <w:pPr>
              <w:spacing w:after="0" w:before="0"/>
            </w:pPr>
            <w:r/>
            <w:r>
              <w:rPr>
                <w:rFonts w:ascii="Calibri" w:hAnsi="Calibri" w:eastAsia="Calibri"/>
                <w:b w:val="0"/>
                <w:color w:val="222222"/>
                <w:sz w:val="17"/>
              </w:rPr>
              <w:t>Return stored encrypted content when inline push was too large</w:t>
            </w:r>
          </w:p>
        </w:tc>
      </w:tr>
    </w:tbl>
    <w:p/>
    <w:tbl>
      <w:tblPr>
        <w:tblStyle w:val="TableGrid"/>
        <w:tblW w:type="auto" w:w="0"/>
        <w:jc w:val="center"/>
        <w:tblLook w:firstColumn="1" w:firstRow="1" w:lastColumn="0" w:lastRow="0" w:noHBand="0" w:noVBand="1" w:val="04A0"/>
      </w:tblPr>
      <w:tblGrid>
        <w:gridCol w:w="5100"/>
        <w:gridCol w:w="5100"/>
      </w:tblGrid>
      <w:tr>
        <w:tc>
          <w:tcPr>
            <w:tcW w:type="dxa" w:w="3969"/>
            <w:shd w:fill="1B3A5F" w:val="clear"/>
          </w:tcPr>
          <w:p>
            <w:pPr>
              <w:spacing w:after="0" w:before="0"/>
              <w:jc w:val="center"/>
            </w:pPr>
            <w:r/>
            <w:r>
              <w:rPr>
                <w:rFonts w:ascii="Calibri" w:hAnsi="Calibri" w:eastAsia="Calibri"/>
                <w:b/>
                <w:color w:val="FFFFFF"/>
                <w:sz w:val="18"/>
              </w:rPr>
              <w:t>HTTP</w:t>
            </w:r>
          </w:p>
        </w:tc>
        <w:tc>
          <w:tcPr>
            <w:tcW w:type="dxa" w:w="5669"/>
            <w:shd w:fill="1B3A5F" w:val="clear"/>
          </w:tcPr>
          <w:p>
            <w:pPr>
              <w:spacing w:after="0" w:before="0"/>
              <w:jc w:val="center"/>
            </w:pPr>
            <w:r/>
            <w:r>
              <w:rPr>
                <w:rFonts w:ascii="Calibri" w:hAnsi="Calibri" w:eastAsia="Calibri"/>
                <w:b/>
                <w:color w:val="FFFFFF"/>
                <w:sz w:val="18"/>
              </w:rPr>
              <w:t>When</w:t>
            </w:r>
          </w:p>
        </w:tc>
      </w:tr>
      <w:tr>
        <w:tc>
          <w:tcPr>
            <w:tcW w:type="dxa" w:w="3969"/>
          </w:tcPr>
          <w:p>
            <w:pPr>
              <w:spacing w:after="0" w:before="0"/>
            </w:pPr>
            <w:r/>
            <w:r>
              <w:rPr>
                <w:rFonts w:ascii="Calibri" w:hAnsi="Calibri" w:eastAsia="Calibri"/>
                <w:b w:val="0"/>
                <w:color w:val="222222"/>
                <w:sz w:val="17"/>
              </w:rPr>
              <w:t>200 + HealthInformationResponse.content</w:t>
            </w:r>
          </w:p>
        </w:tc>
        <w:tc>
          <w:tcPr>
            <w:tcW w:type="dxa" w:w="5669"/>
          </w:tcPr>
          <w:p>
            <w:pPr>
              <w:spacing w:after="0" w:before="0"/>
            </w:pPr>
            <w:r/>
            <w:r>
              <w:rPr>
                <w:rFonts w:ascii="Calibri" w:hAnsi="Calibri" w:eastAsia="Calibri"/>
                <w:b w:val="0"/>
                <w:color w:val="222222"/>
                <w:sz w:val="17"/>
              </w:rPr>
              <w:t>token matches and link not older than DataLinkTtlInMinutes</w:t>
            </w:r>
          </w:p>
        </w:tc>
      </w:tr>
      <w:tr>
        <w:tc>
          <w:tcPr>
            <w:tcW w:type="dxa" w:w="3969"/>
            <w:shd w:fill="F3F7FA" w:val="clear"/>
          </w:tcPr>
          <w:p>
            <w:pPr>
              <w:spacing w:after="0" w:before="0"/>
            </w:pPr>
            <w:r/>
            <w:r>
              <w:rPr>
                <w:rFonts w:ascii="Calibri" w:hAnsi="Calibri" w:eastAsia="Calibri"/>
                <w:b w:val="0"/>
                <w:color w:val="222222"/>
                <w:sz w:val="17"/>
              </w:rPr>
              <w:t>403 InvalidToken / LinkExpired</w:t>
            </w:r>
          </w:p>
        </w:tc>
        <w:tc>
          <w:tcPr>
            <w:tcW w:type="dxa" w:w="5669"/>
            <w:shd w:fill="F3F7FA" w:val="clear"/>
          </w:tcPr>
          <w:p>
            <w:pPr>
              <w:spacing w:after="0" w:before="0"/>
            </w:pPr>
            <w:r/>
            <w:r>
              <w:rPr>
                <w:rFonts w:ascii="Calibri" w:hAnsi="Calibri" w:eastAsia="Calibri"/>
                <w:b w:val="0"/>
                <w:color w:val="222222"/>
                <w:sz w:val="17"/>
              </w:rPr>
              <w:t>wrong token or TTL exceeded</w:t>
            </w:r>
          </w:p>
        </w:tc>
      </w:tr>
      <w:tr>
        <w:tc>
          <w:tcPr>
            <w:tcW w:type="dxa" w:w="3969"/>
          </w:tcPr>
          <w:p>
            <w:pPr>
              <w:spacing w:after="0" w:before="0"/>
            </w:pPr>
            <w:r/>
            <w:r>
              <w:rPr>
                <w:rFonts w:ascii="Calibri" w:hAnsi="Calibri" w:eastAsia="Calibri"/>
                <w:b w:val="0"/>
                <w:color w:val="222222"/>
                <w:sz w:val="17"/>
              </w:rPr>
              <w:t>404 HealthInformationNotFound / ContextArtefactIdNotFound</w:t>
            </w:r>
          </w:p>
        </w:tc>
        <w:tc>
          <w:tcPr>
            <w:tcW w:type="dxa" w:w="5669"/>
          </w:tcPr>
          <w:p>
            <w:pPr>
              <w:spacing w:after="0" w:before="0"/>
            </w:pPr>
            <w:r/>
            <w:r>
              <w:rPr>
                <w:rFonts w:ascii="Calibri" w:hAnsi="Calibri" w:eastAsia="Calibri"/>
                <w:b w:val="0"/>
                <w:color w:val="222222"/>
                <w:sz w:val="17"/>
              </w:rPr>
              <w:t>unknown id</w:t>
            </w:r>
          </w:p>
        </w:tc>
      </w:tr>
      <w:tr>
        <w:tc>
          <w:tcPr>
            <w:tcW w:type="dxa" w:w="3969"/>
            <w:shd w:fill="F3F7FA" w:val="clear"/>
          </w:tcPr>
          <w:p>
            <w:pPr>
              <w:spacing w:after="0" w:before="0"/>
            </w:pPr>
            <w:r/>
            <w:r>
              <w:rPr>
                <w:rFonts w:ascii="Calibri" w:hAnsi="Calibri" w:eastAsia="Calibri"/>
                <w:b w:val="0"/>
                <w:color w:val="222222"/>
                <w:sz w:val="17"/>
              </w:rPr>
              <w:t>400 ExpiredKeyPair</w:t>
            </w:r>
          </w:p>
        </w:tc>
        <w:tc>
          <w:tcPr>
            <w:tcW w:type="dxa" w:w="5669"/>
            <w:shd w:fill="F3F7FA" w:val="clear"/>
          </w:tcPr>
          <w:p>
            <w:pPr>
              <w:spacing w:after="0" w:before="0"/>
            </w:pPr>
            <w:r/>
            <w:r>
              <w:rPr>
                <w:rFonts w:ascii="Calibri" w:hAnsi="Calibri" w:eastAsia="Calibri"/>
                <w:b w:val="0"/>
                <w:color w:val="222222"/>
                <w:sz w:val="17"/>
              </w:rPr>
              <w:t>legacy mapping on this action result helper</w:t>
            </w:r>
          </w:p>
        </w:tc>
      </w:tr>
    </w:tbl>
    <w:p/>
    <w:p>
      <w:pPr>
        <w:pStyle w:val="Heading1"/>
      </w:pPr>
      <w:r>
        <w:rPr>
          <w:rFonts w:ascii="Calibri" w:hAnsi="Calibri"/>
          <w:color w:val="1B3A5F"/>
        </w:rPr>
        <w:t>5. M3 API catalogue</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794"/>
            <w:shd w:fill="1B3A5F" w:val="clear"/>
          </w:tcPr>
          <w:p>
            <w:pPr>
              <w:spacing w:after="0" w:before="0"/>
              <w:jc w:val="center"/>
            </w:pPr>
            <w:r/>
            <w:r>
              <w:rPr>
                <w:rFonts w:ascii="Calibri" w:hAnsi="Calibri" w:eastAsia="Calibri"/>
                <w:b/>
                <w:color w:val="FFFFFF"/>
                <w:sz w:val="18"/>
              </w:rPr>
              <w:t>#</w:t>
            </w:r>
          </w:p>
        </w:tc>
        <w:tc>
          <w:tcPr>
            <w:tcW w:type="dxa" w:w="4876"/>
            <w:shd w:fill="1B3A5F" w:val="clear"/>
          </w:tcPr>
          <w:p>
            <w:pPr>
              <w:spacing w:after="0" w:before="0"/>
              <w:jc w:val="center"/>
            </w:pPr>
            <w:r/>
            <w:r>
              <w:rPr>
                <w:rFonts w:ascii="Calibri" w:hAnsi="Calibri" w:eastAsia="Calibri"/>
                <w:b/>
                <w:color w:val="FFFFFF"/>
                <w:sz w:val="18"/>
              </w:rPr>
              <w:t>Path</w:t>
            </w:r>
          </w:p>
        </w:tc>
        <w:tc>
          <w:tcPr>
            <w:tcW w:type="dxa" w:w="1814"/>
            <w:shd w:fill="1B3A5F" w:val="clear"/>
          </w:tcPr>
          <w:p>
            <w:pPr>
              <w:spacing w:after="0" w:before="0"/>
              <w:jc w:val="center"/>
            </w:pPr>
            <w:r/>
            <w:r>
              <w:rPr>
                <w:rFonts w:ascii="Calibri" w:hAnsi="Calibri" w:eastAsia="Calibri"/>
                <w:b/>
                <w:color w:val="FFFFFF"/>
                <w:sz w:val="18"/>
              </w:rPr>
              <w:t>Direction</w:t>
            </w:r>
          </w:p>
        </w:tc>
        <w:tc>
          <w:tcPr>
            <w:tcW w:type="dxa" w:w="2154"/>
            <w:shd w:fill="1B3A5F" w:val="clear"/>
          </w:tcPr>
          <w:p>
            <w:pPr>
              <w:spacing w:after="0" w:before="0"/>
              <w:jc w:val="center"/>
            </w:pPr>
            <w:r/>
            <w:r>
              <w:rPr>
                <w:rFonts w:ascii="Calibri" w:hAnsi="Calibri" w:eastAsia="Calibri"/>
                <w:b/>
                <w:color w:val="FFFFFF"/>
                <w:sz w:val="18"/>
              </w:rPr>
              <w:t>Flow</w:t>
            </w:r>
          </w:p>
        </w:tc>
      </w:tr>
      <w:tr>
        <w:tc>
          <w:tcPr>
            <w:tcW w:type="dxa" w:w="794"/>
          </w:tcPr>
          <w:p>
            <w:pPr>
              <w:spacing w:after="0" w:before="0"/>
            </w:pPr>
            <w:r/>
            <w:r>
              <w:rPr>
                <w:rFonts w:ascii="Calibri" w:hAnsi="Calibri" w:eastAsia="Calibri"/>
                <w:b w:val="0"/>
                <w:color w:val="222222"/>
                <w:sz w:val="17"/>
              </w:rPr>
              <w:t>A1</w:t>
            </w:r>
          </w:p>
        </w:tc>
        <w:tc>
          <w:tcPr>
            <w:tcW w:type="dxa" w:w="4876"/>
          </w:tcPr>
          <w:p>
            <w:pPr>
              <w:spacing w:after="0" w:before="0"/>
            </w:pPr>
            <w:r/>
            <w:r>
              <w:rPr>
                <w:rFonts w:ascii="Calibri" w:hAnsi="Calibri" w:eastAsia="Calibri"/>
                <w:b w:val="0"/>
                <w:color w:val="222222"/>
                <w:sz w:val="17"/>
              </w:rPr>
              <w:t>POST /api/v3/consent/request/hip/notify</w:t>
            </w:r>
          </w:p>
        </w:tc>
        <w:tc>
          <w:tcPr>
            <w:tcW w:type="dxa" w:w="1814"/>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Consent</w:t>
            </w:r>
          </w:p>
        </w:tc>
      </w:tr>
      <w:tr>
        <w:tc>
          <w:tcPr>
            <w:tcW w:type="dxa" w:w="794"/>
            <w:shd w:fill="F3F7FA" w:val="clear"/>
          </w:tcPr>
          <w:p>
            <w:pPr>
              <w:spacing w:after="0" w:before="0"/>
            </w:pPr>
            <w:r/>
            <w:r>
              <w:rPr>
                <w:rFonts w:ascii="Calibri" w:hAnsi="Calibri" w:eastAsia="Calibri"/>
                <w:b w:val="0"/>
                <w:color w:val="222222"/>
                <w:sz w:val="17"/>
              </w:rPr>
              <w:t>A1b</w:t>
            </w:r>
          </w:p>
        </w:tc>
        <w:tc>
          <w:tcPr>
            <w:tcW w:type="dxa" w:w="4876"/>
            <w:shd w:fill="F3F7FA" w:val="clear"/>
          </w:tcPr>
          <w:p>
            <w:pPr>
              <w:spacing w:after="0" w:before="0"/>
            </w:pPr>
            <w:r/>
            <w:r>
              <w:rPr>
                <w:rFonts w:ascii="Calibri" w:hAnsi="Calibri" w:eastAsia="Calibri"/>
                <w:b w:val="0"/>
                <w:color w:val="222222"/>
                <w:sz w:val="17"/>
              </w:rPr>
              <w:t>POST /api/hiecm/consent/v3/request/hip/on-notify</w:t>
            </w:r>
          </w:p>
        </w:tc>
        <w:tc>
          <w:tcPr>
            <w:tcW w:type="dxa" w:w="1814"/>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Consent</w:t>
            </w:r>
          </w:p>
        </w:tc>
      </w:tr>
      <w:tr>
        <w:tc>
          <w:tcPr>
            <w:tcW w:type="dxa" w:w="794"/>
          </w:tcPr>
          <w:p>
            <w:pPr>
              <w:spacing w:after="0" w:before="0"/>
            </w:pPr>
            <w:r/>
            <w:r>
              <w:rPr>
                <w:rFonts w:ascii="Calibri" w:hAnsi="Calibri" w:eastAsia="Calibri"/>
                <w:b w:val="0"/>
                <w:color w:val="222222"/>
                <w:sz w:val="17"/>
              </w:rPr>
              <w:t>B1</w:t>
            </w:r>
          </w:p>
        </w:tc>
        <w:tc>
          <w:tcPr>
            <w:tcW w:type="dxa" w:w="4876"/>
          </w:tcPr>
          <w:p>
            <w:pPr>
              <w:spacing w:after="0" w:before="0"/>
            </w:pPr>
            <w:r/>
            <w:r>
              <w:rPr>
                <w:rFonts w:ascii="Calibri" w:hAnsi="Calibri" w:eastAsia="Calibri"/>
                <w:b w:val="0"/>
                <w:color w:val="222222"/>
                <w:sz w:val="17"/>
              </w:rPr>
              <w:t>POST /api/v3/hip/health-information/request</w:t>
            </w:r>
          </w:p>
        </w:tc>
        <w:tc>
          <w:tcPr>
            <w:tcW w:type="dxa" w:w="1814"/>
          </w:tcPr>
          <w:p>
            <w:pPr>
              <w:spacing w:after="0" w:before="0"/>
            </w:pPr>
            <w:r/>
            <w:r>
              <w:rPr>
                <w:rFonts w:ascii="Calibri" w:hAnsi="Calibri" w:eastAsia="Calibri"/>
                <w:b w:val="0"/>
                <w:color w:val="222222"/>
                <w:sz w:val="17"/>
              </w:rPr>
              <w:t>GW -&gt; HIP</w:t>
            </w:r>
          </w:p>
        </w:tc>
        <w:tc>
          <w:tcPr>
            <w:tcW w:type="dxa" w:w="2154"/>
          </w:tcPr>
          <w:p>
            <w:pPr>
              <w:spacing w:after="0" w:before="0"/>
            </w:pPr>
            <w:r/>
            <w:r>
              <w:rPr>
                <w:rFonts w:ascii="Calibri" w:hAnsi="Calibri" w:eastAsia="Calibri"/>
                <w:b w:val="0"/>
                <w:color w:val="222222"/>
                <w:sz w:val="17"/>
              </w:rPr>
              <w:t>Data request</w:t>
            </w:r>
          </w:p>
        </w:tc>
      </w:tr>
      <w:tr>
        <w:tc>
          <w:tcPr>
            <w:tcW w:type="dxa" w:w="794"/>
            <w:shd w:fill="F3F7FA" w:val="clear"/>
          </w:tcPr>
          <w:p>
            <w:pPr>
              <w:spacing w:after="0" w:before="0"/>
            </w:pPr>
            <w:r/>
            <w:r>
              <w:rPr>
                <w:rFonts w:ascii="Calibri" w:hAnsi="Calibri" w:eastAsia="Calibri"/>
                <w:b w:val="0"/>
                <w:color w:val="222222"/>
                <w:sz w:val="17"/>
              </w:rPr>
              <w:t>B1b</w:t>
            </w:r>
          </w:p>
        </w:tc>
        <w:tc>
          <w:tcPr>
            <w:tcW w:type="dxa" w:w="4876"/>
            <w:shd w:fill="F3F7FA" w:val="clear"/>
          </w:tcPr>
          <w:p>
            <w:pPr>
              <w:spacing w:after="0" w:before="0"/>
            </w:pPr>
            <w:r/>
            <w:r>
              <w:rPr>
                <w:rFonts w:ascii="Calibri" w:hAnsi="Calibri" w:eastAsia="Calibri"/>
                <w:b w:val="0"/>
                <w:color w:val="222222"/>
                <w:sz w:val="17"/>
              </w:rPr>
              <w:t>POST /api/hiecm/data-flow/v3/health-information/hip/on-request</w:t>
            </w:r>
          </w:p>
        </w:tc>
        <w:tc>
          <w:tcPr>
            <w:tcW w:type="dxa" w:w="1814"/>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Data request</w:t>
            </w:r>
          </w:p>
        </w:tc>
      </w:tr>
      <w:tr>
        <w:tc>
          <w:tcPr>
            <w:tcW w:type="dxa" w:w="794"/>
          </w:tcPr>
          <w:p>
            <w:pPr>
              <w:spacing w:after="0" w:before="0"/>
            </w:pPr>
            <w:r/>
            <w:r>
              <w:rPr>
                <w:rFonts w:ascii="Calibri" w:hAnsi="Calibri" w:eastAsia="Calibri"/>
                <w:b w:val="0"/>
                <w:color w:val="222222"/>
                <w:sz w:val="17"/>
              </w:rPr>
              <w:t>B2</w:t>
            </w:r>
          </w:p>
        </w:tc>
        <w:tc>
          <w:tcPr>
            <w:tcW w:type="dxa" w:w="4876"/>
          </w:tcPr>
          <w:p>
            <w:pPr>
              <w:spacing w:after="0" w:before="0"/>
            </w:pPr>
            <w:r/>
            <w:r>
              <w:rPr>
                <w:rFonts w:ascii="Calibri" w:hAnsi="Calibri" w:eastAsia="Calibri"/>
                <w:b w:val="0"/>
                <w:color w:val="222222"/>
                <w:sz w:val="17"/>
              </w:rPr>
              <w:t>POST {dataPushUrl}</w:t>
            </w:r>
          </w:p>
        </w:tc>
        <w:tc>
          <w:tcPr>
            <w:tcW w:type="dxa" w:w="1814"/>
          </w:tcPr>
          <w:p>
            <w:pPr>
              <w:spacing w:after="0" w:before="0"/>
            </w:pPr>
            <w:r/>
            <w:r>
              <w:rPr>
                <w:rFonts w:ascii="Calibri" w:hAnsi="Calibri" w:eastAsia="Calibri"/>
                <w:b w:val="0"/>
                <w:color w:val="222222"/>
                <w:sz w:val="17"/>
              </w:rPr>
              <w:t>HIP -&gt; HIU</w:t>
            </w:r>
          </w:p>
        </w:tc>
        <w:tc>
          <w:tcPr>
            <w:tcW w:type="dxa" w:w="2154"/>
          </w:tcPr>
          <w:p>
            <w:pPr>
              <w:spacing w:after="0" w:before="0"/>
            </w:pPr>
            <w:r/>
            <w:r>
              <w:rPr>
                <w:rFonts w:ascii="Calibri" w:hAnsi="Calibri" w:eastAsia="Calibri"/>
                <w:b w:val="0"/>
                <w:color w:val="222222"/>
                <w:sz w:val="17"/>
              </w:rPr>
              <w:t>Encrypted FHIR push</w:t>
            </w:r>
          </w:p>
        </w:tc>
      </w:tr>
      <w:tr>
        <w:tc>
          <w:tcPr>
            <w:tcW w:type="dxa" w:w="794"/>
            <w:shd w:fill="F3F7FA" w:val="clear"/>
          </w:tcPr>
          <w:p>
            <w:pPr>
              <w:spacing w:after="0" w:before="0"/>
            </w:pPr>
            <w:r/>
            <w:r>
              <w:rPr>
                <w:rFonts w:ascii="Calibri" w:hAnsi="Calibri" w:eastAsia="Calibri"/>
                <w:b w:val="0"/>
                <w:color w:val="222222"/>
                <w:sz w:val="17"/>
              </w:rPr>
              <w:t>B3</w:t>
            </w:r>
          </w:p>
        </w:tc>
        <w:tc>
          <w:tcPr>
            <w:tcW w:type="dxa" w:w="4876"/>
            <w:shd w:fill="F3F7FA" w:val="clear"/>
          </w:tcPr>
          <w:p>
            <w:pPr>
              <w:spacing w:after="0" w:before="0"/>
            </w:pPr>
            <w:r/>
            <w:r>
              <w:rPr>
                <w:rFonts w:ascii="Calibri" w:hAnsi="Calibri" w:eastAsia="Calibri"/>
                <w:b w:val="0"/>
                <w:color w:val="222222"/>
                <w:sz w:val="17"/>
              </w:rPr>
              <w:t>POST /api/hiecm/data-flow/v3/health-information/notify</w:t>
            </w:r>
          </w:p>
        </w:tc>
        <w:tc>
          <w:tcPr>
            <w:tcW w:type="dxa" w:w="1814"/>
            <w:shd w:fill="F3F7FA" w:val="clear"/>
          </w:tcPr>
          <w:p>
            <w:pPr>
              <w:spacing w:after="0" w:before="0"/>
            </w:pPr>
            <w:r/>
            <w:r>
              <w:rPr>
                <w:rFonts w:ascii="Calibri" w:hAnsi="Calibri" w:eastAsia="Calibri"/>
                <w:b w:val="0"/>
                <w:color w:val="222222"/>
                <w:sz w:val="17"/>
              </w:rPr>
              <w:t>HIP -&gt; GW</w:t>
            </w:r>
          </w:p>
        </w:tc>
        <w:tc>
          <w:tcPr>
            <w:tcW w:type="dxa" w:w="2154"/>
            <w:shd w:fill="F3F7FA" w:val="clear"/>
          </w:tcPr>
          <w:p>
            <w:pPr>
              <w:spacing w:after="0" w:before="0"/>
            </w:pPr>
            <w:r/>
            <w:r>
              <w:rPr>
                <w:rFonts w:ascii="Calibri" w:hAnsi="Calibri" w:eastAsia="Calibri"/>
                <w:b w:val="0"/>
                <w:color w:val="222222"/>
                <w:sz w:val="17"/>
              </w:rPr>
              <w:t>Transfer status</w:t>
            </w:r>
          </w:p>
        </w:tc>
      </w:tr>
      <w:tr>
        <w:tc>
          <w:tcPr>
            <w:tcW w:type="dxa" w:w="794"/>
          </w:tcPr>
          <w:p>
            <w:pPr>
              <w:spacing w:after="0" w:before="0"/>
            </w:pPr>
            <w:r/>
            <w:r>
              <w:rPr>
                <w:rFonts w:ascii="Calibri" w:hAnsi="Calibri" w:eastAsia="Calibri"/>
                <w:b w:val="0"/>
                <w:color w:val="222222"/>
                <w:sz w:val="17"/>
              </w:rPr>
              <w:t>B4</w:t>
            </w:r>
          </w:p>
        </w:tc>
        <w:tc>
          <w:tcPr>
            <w:tcW w:type="dxa" w:w="4876"/>
          </w:tcPr>
          <w:p>
            <w:pPr>
              <w:spacing w:after="0" w:before="0"/>
            </w:pPr>
            <w:r/>
            <w:r>
              <w:rPr>
                <w:rFonts w:ascii="Calibri" w:hAnsi="Calibri" w:eastAsia="Calibri"/>
                <w:b w:val="0"/>
                <w:color w:val="222222"/>
                <w:sz w:val="17"/>
              </w:rPr>
              <w:t>GET /health-information/{id}?token=</w:t>
            </w:r>
          </w:p>
        </w:tc>
        <w:tc>
          <w:tcPr>
            <w:tcW w:type="dxa" w:w="1814"/>
          </w:tcPr>
          <w:p>
            <w:pPr>
              <w:spacing w:after="0" w:before="0"/>
            </w:pPr>
            <w:r/>
            <w:r>
              <w:rPr>
                <w:rFonts w:ascii="Calibri" w:hAnsi="Calibri" w:eastAsia="Calibri"/>
                <w:b w:val="0"/>
                <w:color w:val="222222"/>
                <w:sz w:val="17"/>
              </w:rPr>
              <w:t>HIU -&gt; HIP</w:t>
            </w:r>
          </w:p>
        </w:tc>
        <w:tc>
          <w:tcPr>
            <w:tcW w:type="dxa" w:w="2154"/>
          </w:tcPr>
          <w:p>
            <w:pPr>
              <w:spacing w:after="0" w:before="0"/>
            </w:pPr>
            <w:r/>
            <w:r>
              <w:rPr>
                <w:rFonts w:ascii="Calibri" w:hAnsi="Calibri" w:eastAsia="Calibri"/>
                <w:b w:val="0"/>
                <w:color w:val="222222"/>
                <w:sz w:val="17"/>
              </w:rPr>
              <w:t>Large payload link</w:t>
            </w:r>
          </w:p>
        </w:tc>
      </w:tr>
      <w:tr>
        <w:tc>
          <w:tcPr>
            <w:tcW w:type="dxa" w:w="794"/>
            <w:shd w:fill="F3F7FA" w:val="clear"/>
          </w:tcPr>
          <w:p>
            <w:pPr>
              <w:spacing w:after="0" w:before="0"/>
            </w:pPr>
            <w:r/>
            <w:r>
              <w:rPr>
                <w:rFonts w:ascii="Calibri" w:hAnsi="Calibri" w:eastAsia="Calibri"/>
                <w:b w:val="0"/>
                <w:color w:val="222222"/>
                <w:sz w:val="17"/>
              </w:rPr>
              <w:t>L1</w:t>
            </w:r>
          </w:p>
        </w:tc>
        <w:tc>
          <w:tcPr>
            <w:tcW w:type="dxa" w:w="4876"/>
            <w:shd w:fill="F3F7FA" w:val="clear"/>
          </w:tcPr>
          <w:p>
            <w:pPr>
              <w:spacing w:after="0" w:before="0"/>
            </w:pPr>
            <w:r/>
            <w:r>
              <w:rPr>
                <w:rFonts w:ascii="Calibri" w:hAnsi="Calibri" w:eastAsia="Calibri"/>
                <w:b w:val="0"/>
                <w:color w:val="222222"/>
                <w:sz w:val="17"/>
              </w:rPr>
              <w:t>POST /consent/notification [Obsolete]</w:t>
            </w:r>
          </w:p>
        </w:tc>
        <w:tc>
          <w:tcPr>
            <w:tcW w:type="dxa" w:w="1814"/>
            <w:shd w:fill="F3F7FA" w:val="clear"/>
          </w:tcPr>
          <w:p>
            <w:pPr>
              <w:spacing w:after="0" w:before="0"/>
            </w:pPr>
            <w:r/>
            <w:r>
              <w:rPr>
                <w:rFonts w:ascii="Calibri" w:hAnsi="Calibri" w:eastAsia="Calibri"/>
                <w:b w:val="0"/>
                <w:color w:val="222222"/>
                <w:sz w:val="17"/>
              </w:rPr>
              <w:t>legacy</w:t>
            </w:r>
          </w:p>
        </w:tc>
        <w:tc>
          <w:tcPr>
            <w:tcW w:type="dxa" w:w="2154"/>
            <w:shd w:fill="F3F7FA" w:val="clear"/>
          </w:tcPr>
          <w:p>
            <w:pPr>
              <w:spacing w:after="0" w:before="0"/>
            </w:pPr>
            <w:r/>
            <w:r>
              <w:rPr>
                <w:rFonts w:ascii="Calibri" w:hAnsi="Calibri" w:eastAsia="Calibri"/>
                <w:b w:val="0"/>
                <w:color w:val="222222"/>
                <w:sz w:val="17"/>
              </w:rPr>
              <w:t>Do not use for V3</w:t>
            </w:r>
          </w:p>
        </w:tc>
      </w:tr>
      <w:tr>
        <w:tc>
          <w:tcPr>
            <w:tcW w:type="dxa" w:w="794"/>
          </w:tcPr>
          <w:p>
            <w:pPr>
              <w:spacing w:after="0" w:before="0"/>
            </w:pPr>
            <w:r/>
            <w:r>
              <w:rPr>
                <w:rFonts w:ascii="Calibri" w:hAnsi="Calibri" w:eastAsia="Calibri"/>
                <w:b w:val="0"/>
                <w:color w:val="222222"/>
                <w:sz w:val="17"/>
              </w:rPr>
              <w:t>L2</w:t>
            </w:r>
          </w:p>
        </w:tc>
        <w:tc>
          <w:tcPr>
            <w:tcW w:type="dxa" w:w="4876"/>
          </w:tcPr>
          <w:p>
            <w:pPr>
              <w:spacing w:after="0" w:before="0"/>
            </w:pPr>
            <w:r/>
            <w:r>
              <w:rPr>
                <w:rFonts w:ascii="Calibri" w:hAnsi="Calibri" w:eastAsia="Calibri"/>
                <w:b w:val="0"/>
                <w:color w:val="222222"/>
                <w:sz w:val="17"/>
              </w:rPr>
              <w:t>POST /health-information/request [Obsolete]</w:t>
            </w:r>
          </w:p>
        </w:tc>
        <w:tc>
          <w:tcPr>
            <w:tcW w:type="dxa" w:w="1814"/>
          </w:tcPr>
          <w:p>
            <w:pPr>
              <w:spacing w:after="0" w:before="0"/>
            </w:pPr>
            <w:r/>
            <w:r>
              <w:rPr>
                <w:rFonts w:ascii="Calibri" w:hAnsi="Calibri" w:eastAsia="Calibri"/>
                <w:b w:val="0"/>
                <w:color w:val="222222"/>
                <w:sz w:val="17"/>
              </w:rPr>
              <w:t>legacy</w:t>
            </w:r>
          </w:p>
        </w:tc>
        <w:tc>
          <w:tcPr>
            <w:tcW w:type="dxa" w:w="2154"/>
          </w:tcPr>
          <w:p>
            <w:pPr>
              <w:spacing w:after="0" w:before="0"/>
            </w:pPr>
            <w:r/>
            <w:r>
              <w:rPr>
                <w:rFonts w:ascii="Calibri" w:hAnsi="Calibri" w:eastAsia="Calibri"/>
                <w:b w:val="0"/>
                <w:color w:val="222222"/>
                <w:sz w:val="17"/>
              </w:rPr>
              <w:t>Do not use for V3</w:t>
            </w:r>
          </w:p>
        </w:tc>
      </w:tr>
    </w:tbl>
    <w:p/>
    <w:p>
      <w:pPr>
        <w:pStyle w:val="Heading1"/>
      </w:pPr>
      <w:r>
        <w:rPr>
          <w:rFonts w:ascii="Calibri" w:hAnsi="Calibri"/>
          <w:color w:val="1B3A5F"/>
        </w:rPr>
        <w:t>6. Typical call order</w:t>
      </w:r>
    </w:p>
    <w:p>
      <w:pPr>
        <w:spacing w:after="160" w:before="0" w:line="276" w:lineRule="auto"/>
      </w:pPr>
      <w:r>
        <w:rPr>
          <w:rFonts w:ascii="Calibri" w:hAnsi="Calibri" w:eastAsia="Calibri"/>
          <w:b w:val="0"/>
          <w:color w:val="222222"/>
          <w:sz w:val="22"/>
        </w:rPr>
        <w:t>1. M2 has already linked the visit (careContextReference = patientId:visitUuid).</w:t>
        <w:br/>
        <w:t>2. Patient in PHR grants consent to an HIU for this HIP, selected hiTypes and date range.</w:t>
        <w:br/>
        <w:t>3. Gateway POST /api/v3/consent/request/hip/notify (GRANTED). HIP 202, saves artefact, on-notify OK.</w:t>
        <w:br/>
        <w:t>4. HIU requests data through ABDM. Gateway POST /api/v3/hip/health-information/request.</w:t>
        <w:br/>
        <w:t>5. HIP 202, on-request ACKNOWLEDGED, publishes RabbitMQ.</w:t>
        <w:br/>
        <w:t>6. Worker GETs OpenMRS FHIR per hiType, encrypts, POSTs DataResponse to dataPushUrl.</w:t>
        <w:br/>
        <w:t>7. HIP POST health-information/notify with TRANSFERRED / DELIVERED (or FAILED / ERRORED).</w:t>
        <w:br/>
        <w:t>8. If a later notify arrives with REVOKED, HIP updates artefact status and on-notify OK. Subsequent HI requests still find the row; they do not currently re-check GRANTED before collect — operationally ABDM should not request after revoke.</w:t>
      </w:r>
    </w:p>
    <w:p>
      <w:pPr>
        <w:pStyle w:val="Heading1"/>
      </w:pPr>
      <w:r>
        <w:rPr>
          <w:rFonts w:ascii="Calibri" w:hAnsi="Calibri"/>
          <w:color w:val="1B3A5F"/>
        </w:rPr>
        <w:t>7. Implementation notes from the V3 changes</w:t>
      </w:r>
    </w:p>
    <w:p>
      <w:pPr>
        <w:pStyle w:val="ListBullet"/>
        <w:spacing w:after="60"/>
        <w:ind w:left="709"/>
      </w:pPr>
      <w:r>
        <w:rPr>
          <w:rFonts w:ascii="Calibri" w:hAnsi="Calibri" w:eastAsia="Calibri"/>
          <w:b w:val="0"/>
          <w:color w:val="222222"/>
          <w:sz w:val="22"/>
        </w:rPr>
        <w:t>on-request and notify use /api/hiecm/data-flow/v3/... ; consent on-notify uses /api/hiecm/consent/v3/...</w:t>
      </w:r>
    </w:p>
    <w:p>
      <w:pPr>
        <w:pStyle w:val="ListBullet"/>
        <w:spacing w:after="60"/>
        <w:ind w:left="709"/>
      </w:pPr>
      <w:r>
        <w:rPr>
          <w:rFonts w:ascii="Calibri" w:hAnsi="Calibri" w:eastAsia="Calibri"/>
          <w:b w:val="0"/>
          <w:color w:val="222222"/>
          <w:sz w:val="22"/>
        </w:rPr>
        <w:t>Data push and transfer notify include visit-wise HFR id (hipId), not only the default Bahmni id.</w:t>
      </w:r>
    </w:p>
    <w:p>
      <w:pPr>
        <w:pStyle w:val="ListBullet"/>
        <w:spacing w:after="60"/>
        <w:ind w:left="709"/>
      </w:pPr>
      <w:r>
        <w:rPr>
          <w:rFonts w:ascii="Calibri" w:hAnsi="Calibri" w:eastAsia="Calibri"/>
          <w:b w:val="0"/>
          <w:color w:val="222222"/>
          <w:sz w:val="22"/>
        </w:rPr>
        <w:t>Data push uses CreateHttpRequestWithContentType, which sets header X-HIU-ID to that hipId.</w:t>
      </w:r>
    </w:p>
    <w:p>
      <w:pPr>
        <w:pStyle w:val="ListBullet"/>
        <w:spacing w:after="60"/>
        <w:ind w:left="709"/>
      </w:pPr>
      <w:r>
        <w:rPr>
          <w:rFonts w:ascii="Calibri" w:hAnsi="Calibri" w:eastAsia="Calibri"/>
          <w:b w:val="0"/>
          <w:color w:val="222222"/>
          <w:sz w:val="22"/>
        </w:rPr>
        <w:t>doneAt on notify is UTC DateTime.Today in TIMESTAMP_FORMAT (doneAt fixes).</w:t>
      </w:r>
    </w:p>
    <w:p>
      <w:pPr>
        <w:pStyle w:val="ListBullet"/>
        <w:spacing w:after="60"/>
        <w:ind w:left="709"/>
      </w:pPr>
      <w:r>
        <w:rPr>
          <w:rFonts w:ascii="Calibri" w:hAnsi="Calibri" w:eastAsia="Calibri"/>
          <w:b w:val="0"/>
          <w:color w:val="222222"/>
          <w:sz w:val="22"/>
        </w:rPr>
        <w:t>Visit FHIR fromDate/toDate are expanded by one day on each side.</w:t>
      </w:r>
    </w:p>
    <w:p>
      <w:pPr>
        <w:pStyle w:val="ListBullet"/>
        <w:spacing w:after="60"/>
        <w:ind w:left="709"/>
      </w:pPr>
      <w:r>
        <w:rPr>
          <w:rFonts w:ascii="Calibri" w:hAnsi="Calibri" w:eastAsia="Calibri"/>
          <w:b w:val="0"/>
          <w:color w:val="222222"/>
          <w:sz w:val="22"/>
        </w:rPr>
        <w:t>If patientUuid is not yet in linked accounts, HIP waits 5 seconds once (link-confirm race).</w:t>
      </w:r>
    </w:p>
    <w:p>
      <w:pPr>
        <w:pStyle w:val="ListBullet"/>
        <w:spacing w:after="60"/>
        <w:ind w:left="709"/>
      </w:pPr>
      <w:r>
        <w:rPr>
          <w:rFonts w:ascii="Calibri" w:hAnsi="Calibri" w:eastAsia="Calibri"/>
          <w:b w:val="0"/>
          <w:color w:val="222222"/>
          <w:sz w:val="22"/>
        </w:rPr>
        <w:t>RabbitMQ is required for actual transfer; acknowledging on-request without a running listener will not push data.</w:t>
      </w:r>
    </w:p>
    <w:p>
      <w:pPr>
        <w:pStyle w:val="ListBullet"/>
        <w:spacing w:after="60"/>
        <w:ind w:left="709"/>
      </w:pPr>
      <w:r>
        <w:rPr>
          <w:rFonts w:ascii="Calibri" w:hAnsi="Calibri" w:eastAsia="Calibri"/>
          <w:b w:val="0"/>
          <w:color w:val="222222"/>
          <w:sz w:val="22"/>
        </w:rPr>
        <w:t>HIP never sends plaintext FHIR to the HIU; only AES-GCM ciphertext (or a short-lived link to ciphertext).</w:t>
      </w:r>
    </w:p>
    <w:p>
      <w:pPr>
        <w:pStyle w:val="ListBullet"/>
        <w:spacing w:after="60"/>
        <w:ind w:left="709"/>
      </w:pPr>
      <w:r>
        <w:rPr>
          <w:rFonts w:ascii="Calibri" w:hAnsi="Calibri" w:eastAsia="Calibri"/>
          <w:b w:val="0"/>
          <w:color w:val="222222"/>
          <w:sz w:val="22"/>
        </w:rPr>
        <w:t>Obsolete v0.5 consent/notification and health-information/request remain compiled but are not the V3 contract.</w:t>
      </w:r>
    </w:p>
    <w:p>
      <w:pPr>
        <w:pStyle w:val="Heading1"/>
      </w:pPr>
      <w:r>
        <w:rPr>
          <w:rFonts w:ascii="Calibri" w:hAnsi="Calibri"/>
          <w:color w:val="1B3A5F"/>
        </w:rPr>
        <w:t>8. Code map (M3)</w:t>
      </w:r>
    </w:p>
    <w:tbl>
      <w:tblPr>
        <w:tblStyle w:val="TableGrid"/>
        <w:tblW w:type="auto" w:w="0"/>
        <w:jc w:val="center"/>
        <w:tblLook w:firstColumn="1" w:firstRow="1" w:lastColumn="0" w:lastRow="0" w:noHBand="0" w:noVBand="1" w:val="04A0"/>
      </w:tblPr>
      <w:tblGrid>
        <w:gridCol w:w="5100"/>
        <w:gridCol w:w="5100"/>
      </w:tblGrid>
      <w:tr>
        <w:tc>
          <w:tcPr>
            <w:tcW w:type="dxa" w:w="2835"/>
            <w:shd w:fill="1B3A5F" w:val="clear"/>
          </w:tcPr>
          <w:p>
            <w:pPr>
              <w:spacing w:after="0" w:before="0"/>
              <w:jc w:val="center"/>
            </w:pPr>
            <w:r/>
            <w:r>
              <w:rPr>
                <w:rFonts w:ascii="Calibri" w:hAnsi="Calibri" w:eastAsia="Calibri"/>
                <w:b/>
                <w:color w:val="FFFFFF"/>
                <w:sz w:val="18"/>
              </w:rPr>
              <w:t>Area</w:t>
            </w:r>
          </w:p>
        </w:tc>
        <w:tc>
          <w:tcPr>
            <w:tcW w:type="dxa" w:w="6803"/>
            <w:shd w:fill="1B3A5F" w:val="clear"/>
          </w:tcPr>
          <w:p>
            <w:pPr>
              <w:spacing w:after="0" w:before="0"/>
              <w:jc w:val="center"/>
            </w:pPr>
            <w:r/>
            <w:r>
              <w:rPr>
                <w:rFonts w:ascii="Calibri" w:hAnsi="Calibri" w:eastAsia="Calibri"/>
                <w:b/>
                <w:color w:val="FFFFFF"/>
                <w:sz w:val="18"/>
              </w:rPr>
              <w:t>Primary types</w:t>
            </w:r>
          </w:p>
        </w:tc>
      </w:tr>
      <w:tr>
        <w:tc>
          <w:tcPr>
            <w:tcW w:type="dxa" w:w="2835"/>
          </w:tcPr>
          <w:p>
            <w:pPr>
              <w:spacing w:after="0" w:before="0"/>
            </w:pPr>
            <w:r/>
            <w:r>
              <w:rPr>
                <w:rFonts w:ascii="Calibri" w:hAnsi="Calibri" w:eastAsia="Calibri"/>
                <w:b w:val="0"/>
                <w:color w:val="222222"/>
                <w:sz w:val="17"/>
              </w:rPr>
              <w:t>Consent notify</w:t>
            </w:r>
          </w:p>
        </w:tc>
        <w:tc>
          <w:tcPr>
            <w:tcW w:type="dxa" w:w="6803"/>
          </w:tcPr>
          <w:p>
            <w:pPr>
              <w:spacing w:after="0" w:before="0"/>
            </w:pPr>
            <w:r/>
            <w:r>
              <w:rPr>
                <w:rFonts w:ascii="Calibri" w:hAnsi="Calibri" w:eastAsia="Calibri"/>
                <w:b w:val="0"/>
                <w:color w:val="222222"/>
                <w:sz w:val="17"/>
              </w:rPr>
              <w:t>Consent/ConsentNotificationController.cs, ConsentRepository, Common.Model.ConsentArtefact</w:t>
            </w:r>
          </w:p>
        </w:tc>
      </w:tr>
      <w:tr>
        <w:tc>
          <w:tcPr>
            <w:tcW w:type="dxa" w:w="2835"/>
            <w:shd w:fill="F3F7FA" w:val="clear"/>
          </w:tcPr>
          <w:p>
            <w:pPr>
              <w:spacing w:after="0" w:before="0"/>
            </w:pPr>
            <w:r/>
            <w:r>
              <w:rPr>
                <w:rFonts w:ascii="Calibri" w:hAnsi="Calibri" w:eastAsia="Calibri"/>
                <w:b w:val="0"/>
                <w:color w:val="222222"/>
                <w:sz w:val="17"/>
              </w:rPr>
              <w:t>HI request</w:t>
            </w:r>
          </w:p>
        </w:tc>
        <w:tc>
          <w:tcPr>
            <w:tcW w:type="dxa" w:w="6803"/>
            <w:shd w:fill="F3F7FA" w:val="clear"/>
          </w:tcPr>
          <w:p>
            <w:pPr>
              <w:spacing w:after="0" w:before="0"/>
            </w:pPr>
            <w:r/>
            <w:r>
              <w:rPr>
                <w:rFonts w:ascii="Calibri" w:hAnsi="Calibri" w:eastAsia="Calibri"/>
                <w:b w:val="0"/>
                <w:color w:val="222222"/>
                <w:sz w:val="17"/>
              </w:rPr>
              <w:t>DataFlow/DataFlowController.cs (PatientDataFlowController), DataFlow/DataFlow.cs</w:t>
            </w:r>
          </w:p>
        </w:tc>
      </w:tr>
      <w:tr>
        <w:tc>
          <w:tcPr>
            <w:tcW w:type="dxa" w:w="2835"/>
          </w:tcPr>
          <w:p>
            <w:pPr>
              <w:spacing w:after="0" w:before="0"/>
            </w:pPr>
            <w:r/>
            <w:r>
              <w:rPr>
                <w:rFonts w:ascii="Calibri" w:hAnsi="Calibri" w:eastAsia="Calibri"/>
                <w:b w:val="0"/>
                <w:color w:val="222222"/>
                <w:sz w:val="17"/>
              </w:rPr>
              <w:t>Queue</w:t>
            </w:r>
          </w:p>
        </w:tc>
        <w:tc>
          <w:tcPr>
            <w:tcW w:type="dxa" w:w="6803"/>
          </w:tcPr>
          <w:p>
            <w:pPr>
              <w:spacing w:after="0" w:before="0"/>
            </w:pPr>
            <w:r/>
            <w:r>
              <w:rPr>
                <w:rFonts w:ascii="Calibri" w:hAnsi="Calibri" w:eastAsia="Calibri"/>
                <w:b w:val="0"/>
                <w:color w:val="222222"/>
                <w:sz w:val="17"/>
              </w:rPr>
              <w:t>DataFlow/MessagingQueueListener.cs, DataFlowMessageHandler.cs</w:t>
            </w:r>
          </w:p>
        </w:tc>
      </w:tr>
      <w:tr>
        <w:tc>
          <w:tcPr>
            <w:tcW w:type="dxa" w:w="2835"/>
            <w:shd w:fill="F3F7FA" w:val="clear"/>
          </w:tcPr>
          <w:p>
            <w:pPr>
              <w:spacing w:after="0" w:before="0"/>
            </w:pPr>
            <w:r/>
            <w:r>
              <w:rPr>
                <w:rFonts w:ascii="Calibri" w:hAnsi="Calibri" w:eastAsia="Calibri"/>
                <w:b w:val="0"/>
                <w:color w:val="222222"/>
                <w:sz w:val="17"/>
              </w:rPr>
              <w:t>Collect FHIR</w:t>
            </w:r>
          </w:p>
        </w:tc>
        <w:tc>
          <w:tcPr>
            <w:tcW w:type="dxa" w:w="6803"/>
            <w:shd w:fill="F3F7FA" w:val="clear"/>
          </w:tcPr>
          <w:p>
            <w:pPr>
              <w:spacing w:after="0" w:before="0"/>
            </w:pPr>
            <w:r/>
            <w:r>
              <w:rPr>
                <w:rFonts w:ascii="Calibri" w:hAnsi="Calibri" w:eastAsia="Calibri"/>
                <w:b w:val="0"/>
                <w:color w:val="222222"/>
                <w:sz w:val="17"/>
              </w:rPr>
              <w:t>DataFlow/CollectHipService.cs, OpenMrsPatientData.cs</w:t>
            </w:r>
          </w:p>
        </w:tc>
      </w:tr>
      <w:tr>
        <w:tc>
          <w:tcPr>
            <w:tcW w:type="dxa" w:w="2835"/>
          </w:tcPr>
          <w:p>
            <w:pPr>
              <w:spacing w:after="0" w:before="0"/>
            </w:pPr>
            <w:r/>
            <w:r>
              <w:rPr>
                <w:rFonts w:ascii="Calibri" w:hAnsi="Calibri" w:eastAsia="Calibri"/>
                <w:b w:val="0"/>
                <w:color w:val="222222"/>
                <w:sz w:val="17"/>
              </w:rPr>
              <w:t>Encrypt</w:t>
            </w:r>
          </w:p>
        </w:tc>
        <w:tc>
          <w:tcPr>
            <w:tcW w:type="dxa" w:w="6803"/>
          </w:tcPr>
          <w:p>
            <w:pPr>
              <w:spacing w:after="0" w:before="0"/>
            </w:pPr>
            <w:r/>
            <w:r>
              <w:rPr>
                <w:rFonts w:ascii="Calibri" w:hAnsi="Calibri" w:eastAsia="Calibri"/>
                <w:b w:val="0"/>
                <w:color w:val="222222"/>
                <w:sz w:val="17"/>
              </w:rPr>
              <w:t>DataFlow/DataEntryFactory.cs, Encryptor/Encryptor.cs, EncryptorHelper.cs</w:t>
            </w:r>
          </w:p>
        </w:tc>
      </w:tr>
      <w:tr>
        <w:tc>
          <w:tcPr>
            <w:tcW w:type="dxa" w:w="2835"/>
            <w:shd w:fill="F3F7FA" w:val="clear"/>
          </w:tcPr>
          <w:p>
            <w:pPr>
              <w:spacing w:after="0" w:before="0"/>
            </w:pPr>
            <w:r/>
            <w:r>
              <w:rPr>
                <w:rFonts w:ascii="Calibri" w:hAnsi="Calibri" w:eastAsia="Calibri"/>
                <w:b w:val="0"/>
                <w:color w:val="222222"/>
                <w:sz w:val="17"/>
              </w:rPr>
              <w:t>Push + notify</w:t>
            </w:r>
          </w:p>
        </w:tc>
        <w:tc>
          <w:tcPr>
            <w:tcW w:type="dxa" w:w="6803"/>
            <w:shd w:fill="F3F7FA" w:val="clear"/>
          </w:tcPr>
          <w:p>
            <w:pPr>
              <w:spacing w:after="0" w:before="0"/>
            </w:pPr>
            <w:r/>
            <w:r>
              <w:rPr>
                <w:rFonts w:ascii="Calibri" w:hAnsi="Calibri" w:eastAsia="Calibri"/>
                <w:b w:val="0"/>
                <w:color w:val="222222"/>
                <w:sz w:val="17"/>
              </w:rPr>
              <w:t>DataFlow/DataFlowClient.cs, DataFlowNotificationClient.cs</w:t>
            </w:r>
          </w:p>
        </w:tc>
      </w:tr>
      <w:tr>
        <w:tc>
          <w:tcPr>
            <w:tcW w:type="dxa" w:w="2835"/>
          </w:tcPr>
          <w:p>
            <w:pPr>
              <w:spacing w:after="0" w:before="0"/>
            </w:pPr>
            <w:r/>
            <w:r>
              <w:rPr>
                <w:rFonts w:ascii="Calibri" w:hAnsi="Calibri" w:eastAsia="Calibri"/>
                <w:b w:val="0"/>
                <w:color w:val="222222"/>
                <w:sz w:val="17"/>
              </w:rPr>
              <w:t>HFR on transfer</w:t>
            </w:r>
          </w:p>
        </w:tc>
        <w:tc>
          <w:tcPr>
            <w:tcW w:type="dxa" w:w="6803"/>
          </w:tcPr>
          <w:p>
            <w:pPr>
              <w:spacing w:after="0" w:before="0"/>
            </w:pPr>
            <w:r/>
            <w:r>
              <w:rPr>
                <w:rFonts w:ascii="Calibri" w:hAnsi="Calibri" w:eastAsia="Calibri"/>
                <w:b w:val="0"/>
                <w:color w:val="222222"/>
                <w:sz w:val="17"/>
              </w:rPr>
              <w:t>Common/Model/BahmniConfiguration.cs (same cache as M2)</w:t>
            </w:r>
          </w:p>
        </w:tc>
      </w:tr>
      <w:tr>
        <w:tc>
          <w:tcPr>
            <w:tcW w:type="dxa" w:w="2835"/>
            <w:shd w:fill="F3F7FA" w:val="clear"/>
          </w:tcPr>
          <w:p>
            <w:pPr>
              <w:spacing w:after="0" w:before="0"/>
            </w:pPr>
            <w:r/>
            <w:r>
              <w:rPr>
                <w:rFonts w:ascii="Calibri" w:hAnsi="Calibri" w:eastAsia="Calibri"/>
                <w:b w:val="0"/>
                <w:color w:val="222222"/>
                <w:sz w:val="17"/>
              </w:rPr>
              <w:t>Paths</w:t>
            </w:r>
          </w:p>
        </w:tc>
        <w:tc>
          <w:tcPr>
            <w:tcW w:type="dxa" w:w="6803"/>
            <w:shd w:fill="F3F7FA" w:val="clear"/>
          </w:tcPr>
          <w:p>
            <w:pPr>
              <w:spacing w:after="0" w:before="0"/>
            </w:pPr>
            <w:r/>
            <w:r>
              <w:rPr>
                <w:rFonts w:ascii="Calibri" w:hAnsi="Calibri" w:eastAsia="Calibri"/>
                <w:b w:val="0"/>
                <w:color w:val="222222"/>
                <w:sz w:val="17"/>
              </w:rPr>
              <w:t>Common/Constants.cs PATH_CONSENTS_HIP, PATH_CONSENT_ON_NOTIFY, PATH_HEALTH_INFORMATION_*</w:t>
            </w:r>
          </w:p>
        </w:tc>
      </w:tr>
    </w:tbl>
    <w:p/>
    <w:p>
      <w:pPr>
        <w:pStyle w:val="Heading1"/>
      </w:pPr>
      <w:r>
        <w:rPr>
          <w:rFonts w:ascii="Calibri" w:hAnsi="Calibri"/>
          <w:color w:val="1B3A5F"/>
        </w:rPr>
        <w:t>9. Document set</w:t>
      </w:r>
    </w:p>
    <w:p>
      <w:pPr>
        <w:pStyle w:val="ListBullet"/>
        <w:spacing w:after="60"/>
        <w:ind w:left="709"/>
      </w:pPr>
      <w:r>
        <w:rPr>
          <w:rFonts w:ascii="Calibri" w:hAnsi="Calibri" w:eastAsia="Calibri"/>
          <w:b w:val="0"/>
          <w:color w:val="222222"/>
          <w:sz w:val="22"/>
        </w:rPr>
        <w:t>M1 ABHA create/verify — docs/changesExpalined.docx</w:t>
      </w:r>
    </w:p>
    <w:p>
      <w:pPr>
        <w:pStyle w:val="ListBullet"/>
        <w:spacing w:after="60"/>
        <w:ind w:left="709"/>
      </w:pPr>
      <w:r>
        <w:rPr>
          <w:rFonts w:ascii="Calibri" w:hAnsi="Calibri" w:eastAsia="Calibri"/>
          <w:b w:val="0"/>
          <w:color w:val="222222"/>
          <w:sz w:val="22"/>
        </w:rPr>
        <w:t>M2 link care contexts — docs/FlowExpalined-M2.docx</w:t>
      </w:r>
    </w:p>
    <w:p>
      <w:pPr>
        <w:pStyle w:val="ListBullet"/>
        <w:spacing w:after="60"/>
        <w:ind w:left="709"/>
      </w:pPr>
      <w:r>
        <w:rPr>
          <w:rFonts w:ascii="Calibri" w:hAnsi="Calibri" w:eastAsia="Calibri"/>
          <w:b w:val="0"/>
          <w:color w:val="222222"/>
          <w:sz w:val="22"/>
        </w:rPr>
        <w:t>M3 consent + data flow — this file docs/FlowExpalined-M3.docx</w:t>
      </w:r>
    </w:p>
    <w:p>
      <w:pPr>
        <w:pStyle w:val="Heading1"/>
      </w:pPr>
      <w:r>
        <w:rPr>
          <w:rFonts w:ascii="Calibri" w:hAnsi="Calibri"/>
          <w:color w:val="1B3A5F"/>
        </w:rPr>
        <w:t>10. External references</w:t>
      </w:r>
    </w:p>
    <w:p>
      <w:pPr>
        <w:pStyle w:val="ListBullet"/>
        <w:spacing w:after="60"/>
        <w:ind w:left="709"/>
      </w:pPr>
      <w:r>
        <w:rPr>
          <w:rFonts w:ascii="Calibri" w:hAnsi="Calibri" w:eastAsia="Calibri"/>
          <w:b w:val="0"/>
          <w:color w:val="222222"/>
          <w:sz w:val="22"/>
        </w:rPr>
        <w:t>ABDM Sandbox V3: https://sandbox.abdm.gov.in/sandbox/v3/new-documentation</w:t>
      </w:r>
    </w:p>
    <w:p>
      <w:pPr>
        <w:pStyle w:val="ListBullet"/>
        <w:spacing w:after="60"/>
        <w:ind w:left="709"/>
      </w:pPr>
      <w:r>
        <w:rPr>
          <w:rFonts w:ascii="Calibri" w:hAnsi="Calibri" w:eastAsia="Calibri"/>
          <w:b w:val="0"/>
          <w:color w:val="222222"/>
          <w:sz w:val="22"/>
        </w:rPr>
        <w:t>HIP callback: POST /api/v3/consent/request/hip/notify</w:t>
      </w:r>
    </w:p>
    <w:p>
      <w:pPr>
        <w:pStyle w:val="ListBullet"/>
        <w:spacing w:after="60"/>
        <w:ind w:left="709"/>
      </w:pPr>
      <w:r>
        <w:rPr>
          <w:rFonts w:ascii="Calibri" w:hAnsi="Calibri" w:eastAsia="Calibri"/>
          <w:b w:val="0"/>
          <w:color w:val="222222"/>
          <w:sz w:val="22"/>
        </w:rPr>
        <w:t>HIP callback: POST /api/v3/hip/health-information/request</w:t>
      </w:r>
    </w:p>
    <w:p>
      <w:pPr>
        <w:pStyle w:val="ListBullet"/>
        <w:spacing w:after="60"/>
        <w:ind w:left="709"/>
      </w:pPr>
      <w:r>
        <w:rPr>
          <w:rFonts w:ascii="Calibri" w:hAnsi="Calibri" w:eastAsia="Calibri"/>
          <w:b w:val="0"/>
          <w:color w:val="222222"/>
          <w:sz w:val="22"/>
        </w:rPr>
        <w:t>HIP to Gateway: /api/hiecm/consent/v3/request/hip/on-notify</w:t>
      </w:r>
    </w:p>
    <w:p>
      <w:pPr>
        <w:pStyle w:val="ListBullet"/>
        <w:spacing w:after="60"/>
        <w:ind w:left="709"/>
      </w:pPr>
      <w:r>
        <w:rPr>
          <w:rFonts w:ascii="Calibri" w:hAnsi="Calibri" w:eastAsia="Calibri"/>
          <w:b w:val="0"/>
          <w:color w:val="222222"/>
          <w:sz w:val="22"/>
        </w:rPr>
        <w:t>HIP to Gateway: /api/hiecm/data-flow/v3/health-information/hip/on-request</w:t>
      </w:r>
    </w:p>
    <w:p>
      <w:pPr>
        <w:pStyle w:val="ListBullet"/>
        <w:spacing w:after="60"/>
        <w:ind w:left="709"/>
      </w:pPr>
      <w:r>
        <w:rPr>
          <w:rFonts w:ascii="Calibri" w:hAnsi="Calibri" w:eastAsia="Calibri"/>
          <w:b w:val="0"/>
          <w:color w:val="222222"/>
          <w:sz w:val="22"/>
        </w:rPr>
        <w:t>HIP to Gateway: /api/hiecm/data-flow/v3/health-information/notify</w:t>
      </w:r>
    </w:p>
    <w:p>
      <w:pPr>
        <w:spacing w:before="360"/>
      </w:pPr>
      <w:r>
        <w:rPr>
          <w:rFonts w:ascii="Calibri" w:hAnsi="Calibri" w:eastAsia="Calibri"/>
          <w:b w:val="0"/>
          <w:color w:val="555555"/>
          <w:sz w:val="20"/>
        </w:rPr>
        <w:t>End of Milestone 3. M1, M2 and M3 together are the ABDM V3 HIP path in this service.</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