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02D0" w14:textId="18321DE3" w:rsidR="00FE24D8" w:rsidRDefault="00FE24D8" w:rsidP="00FE24D8">
      <w:pPr>
        <w:jc w:val="center"/>
        <w:rPr>
          <w:rFonts w:hint="eastAsia"/>
          <w:b/>
          <w:bCs/>
        </w:rPr>
      </w:pPr>
      <w:r>
        <w:rPr>
          <w:rFonts w:hint="eastAsia"/>
          <w:b/>
          <w:bCs/>
        </w:rPr>
        <w:t>T</w:t>
      </w:r>
      <w:r w:rsidRPr="00FE24D8">
        <w:rPr>
          <w:rFonts w:hint="eastAsia"/>
          <w:b/>
          <w:bCs/>
        </w:rPr>
        <w:t>imed individual assessment</w:t>
      </w:r>
    </w:p>
    <w:p w14:paraId="4FF83A83" w14:textId="6FD6847B" w:rsidR="009561FB" w:rsidRPr="00FE24D8" w:rsidRDefault="009561FB">
      <w:pPr>
        <w:rPr>
          <w:rFonts w:hint="eastAsia"/>
          <w:b/>
          <w:bCs/>
        </w:rPr>
      </w:pPr>
      <w:r w:rsidRPr="00FE24D8">
        <w:rPr>
          <w:rFonts w:hint="eastAsia"/>
          <w:b/>
          <w:bCs/>
        </w:rPr>
        <w:t xml:space="preserve">Strengths of the original data </w:t>
      </w:r>
      <w:r w:rsidRPr="00FE24D8">
        <w:rPr>
          <w:b/>
          <w:bCs/>
        </w:rPr>
        <w:t>visualization</w:t>
      </w:r>
      <w:r w:rsidRPr="00FE24D8">
        <w:rPr>
          <w:rFonts w:hint="eastAsia"/>
          <w:b/>
          <w:bCs/>
        </w:rPr>
        <w:t>:</w:t>
      </w:r>
    </w:p>
    <w:p w14:paraId="1F695CD3" w14:textId="382C1C40" w:rsidR="009561FB" w:rsidRDefault="009561FB" w:rsidP="009561FB">
      <w:pPr>
        <w:pStyle w:val="a9"/>
        <w:numPr>
          <w:ilvl w:val="0"/>
          <w:numId w:val="2"/>
        </w:numPr>
        <w:rPr>
          <w:rFonts w:hint="eastAsia"/>
        </w:rPr>
      </w:pPr>
      <w:r w:rsidRPr="009561FB">
        <w:rPr>
          <w:rFonts w:hint="eastAsia"/>
        </w:rPr>
        <w:t xml:space="preserve">The original visualization presents </w:t>
      </w:r>
      <w:r>
        <w:rPr>
          <w:rFonts w:hint="eastAsia"/>
        </w:rPr>
        <w:t xml:space="preserve">the </w:t>
      </w:r>
      <w:r>
        <w:t>labor</w:t>
      </w:r>
      <w:r w:rsidRPr="009561FB">
        <w:rPr>
          <w:rFonts w:hint="eastAsia"/>
        </w:rPr>
        <w:t xml:space="preserve"> force participation rates across multiple age groups, allowing viewers to observe differences among demographic segments.</w:t>
      </w:r>
    </w:p>
    <w:p w14:paraId="15D3537E" w14:textId="78F540DA" w:rsidR="009561FB" w:rsidRDefault="009561FB" w:rsidP="009561FB">
      <w:pPr>
        <w:pStyle w:val="a9"/>
        <w:numPr>
          <w:ilvl w:val="0"/>
          <w:numId w:val="2"/>
        </w:numPr>
        <w:rPr>
          <w:rFonts w:hint="eastAsia"/>
        </w:rPr>
      </w:pPr>
      <w:r w:rsidRPr="009561FB">
        <w:rPr>
          <w:rFonts w:hint="eastAsia"/>
        </w:rPr>
        <w:t>The use of color helps distinguish different age groups, enabling viewers to</w:t>
      </w:r>
      <w:r>
        <w:rPr>
          <w:rFonts w:hint="eastAsia"/>
        </w:rPr>
        <w:t xml:space="preserve"> quickly</w:t>
      </w:r>
      <w:r w:rsidRPr="009561FB">
        <w:rPr>
          <w:rFonts w:hint="eastAsia"/>
        </w:rPr>
        <w:t xml:space="preserve"> identify the data associated with each group.</w:t>
      </w:r>
    </w:p>
    <w:p w14:paraId="6D54DA5A" w14:textId="0721850E" w:rsidR="009561FB" w:rsidRDefault="009561FB" w:rsidP="009561FB">
      <w:pPr>
        <w:pStyle w:val="a9"/>
        <w:numPr>
          <w:ilvl w:val="0"/>
          <w:numId w:val="2"/>
        </w:numPr>
        <w:rPr>
          <w:rFonts w:hint="eastAsia"/>
        </w:rPr>
      </w:pPr>
      <w:r w:rsidRPr="009561FB">
        <w:rPr>
          <w:rFonts w:hint="eastAsia"/>
        </w:rPr>
        <w:t xml:space="preserve">The chart presents data over time, allowing viewers to observe changes in </w:t>
      </w:r>
      <w:r w:rsidRPr="009561FB">
        <w:t>labor</w:t>
      </w:r>
      <w:r w:rsidRPr="009561FB">
        <w:rPr>
          <w:rFonts w:hint="eastAsia"/>
        </w:rPr>
        <w:t xml:space="preserve"> force participation rates in recent years.</w:t>
      </w:r>
    </w:p>
    <w:p w14:paraId="50691840" w14:textId="77777777" w:rsidR="009561FB" w:rsidRDefault="009561FB">
      <w:pPr>
        <w:rPr>
          <w:rFonts w:hint="eastAsia"/>
        </w:rPr>
      </w:pPr>
    </w:p>
    <w:p w14:paraId="52D7ADFC" w14:textId="16B8F3AE" w:rsidR="009561FB" w:rsidRPr="00FE24D8" w:rsidRDefault="009561FB">
      <w:pPr>
        <w:rPr>
          <w:rFonts w:hint="eastAsia"/>
          <w:b/>
          <w:bCs/>
        </w:rPr>
      </w:pPr>
      <w:r w:rsidRPr="00FE24D8">
        <w:rPr>
          <w:rFonts w:hint="eastAsia"/>
          <w:b/>
          <w:bCs/>
        </w:rPr>
        <w:t>Clarity weakness:</w:t>
      </w:r>
    </w:p>
    <w:p w14:paraId="772B4EED" w14:textId="3BCD3BDF" w:rsidR="009561FB" w:rsidRDefault="009561FB" w:rsidP="009561FB">
      <w:pPr>
        <w:pStyle w:val="a9"/>
        <w:numPr>
          <w:ilvl w:val="0"/>
          <w:numId w:val="1"/>
        </w:numPr>
        <w:rPr>
          <w:rFonts w:hint="eastAsia"/>
        </w:rPr>
      </w:pPr>
      <w:r>
        <w:rPr>
          <w:rFonts w:hint="eastAsia"/>
        </w:rPr>
        <w:t>The x-axis labels are repeated across many narrow panels and only show a single tick (e.g., 2020), making it difficult for viewers to understand the time dimension clearly.</w:t>
      </w:r>
    </w:p>
    <w:p w14:paraId="0A7CB1CF" w14:textId="65F1337E" w:rsidR="009561FB" w:rsidRDefault="00FE24D8" w:rsidP="009561FB">
      <w:pPr>
        <w:pStyle w:val="a9"/>
        <w:numPr>
          <w:ilvl w:val="0"/>
          <w:numId w:val="1"/>
        </w:numPr>
        <w:rPr>
          <w:rFonts w:hint="eastAsia"/>
        </w:rPr>
      </w:pPr>
      <w:r w:rsidRPr="00FE24D8">
        <w:rPr>
          <w:rFonts w:hint="eastAsia"/>
        </w:rPr>
        <w:t xml:space="preserve">The original visualization only displays data from 2016 to 2025, even though the dataset contains information starting from 1991. This limits the ability of viewers to understand the long-term trends in </w:t>
      </w:r>
      <w:r w:rsidRPr="00FE24D8">
        <w:t>labor</w:t>
      </w:r>
      <w:r w:rsidRPr="00FE24D8">
        <w:rPr>
          <w:rFonts w:hint="eastAsia"/>
        </w:rPr>
        <w:t xml:space="preserve"> force participation rates and may lead to incomplete interpretation of the </w:t>
      </w:r>
      <w:r w:rsidRPr="00FE24D8">
        <w:t>data.</w:t>
      </w:r>
      <w:r w:rsidRPr="009561FB">
        <w:t xml:space="preserve"> Th</w:t>
      </w:r>
      <w:r w:rsidRPr="009561FB">
        <w:rPr>
          <w:rFonts w:hint="eastAsia"/>
        </w:rPr>
        <w:t>e</w:t>
      </w:r>
      <w:r w:rsidR="009561FB" w:rsidRPr="009561FB">
        <w:rPr>
          <w:rFonts w:hint="eastAsia"/>
        </w:rPr>
        <w:t xml:space="preserve"> visualization is difficult to interpret because each age group is displayed in separate narrow panels, making it difficult to compare trends across age groups.</w:t>
      </w:r>
    </w:p>
    <w:p w14:paraId="6333C42D" w14:textId="7F61D2B6" w:rsidR="009561FB" w:rsidRDefault="009561FB" w:rsidP="009561FB">
      <w:pPr>
        <w:pStyle w:val="a9"/>
        <w:numPr>
          <w:ilvl w:val="0"/>
          <w:numId w:val="1"/>
        </w:numPr>
        <w:rPr>
          <w:rFonts w:hint="eastAsia"/>
        </w:rPr>
      </w:pPr>
      <w:r w:rsidRPr="009561FB">
        <w:rPr>
          <w:rFonts w:hint="eastAsia"/>
        </w:rPr>
        <w:t>The visualization uses too many panels and colors, which creates visual clutter and makes the chart appear overly complex.</w:t>
      </w:r>
    </w:p>
    <w:p w14:paraId="2985718C" w14:textId="696D5408" w:rsidR="009561FB" w:rsidRDefault="009638EB" w:rsidP="009561FB">
      <w:pPr>
        <w:pStyle w:val="a9"/>
        <w:numPr>
          <w:ilvl w:val="0"/>
          <w:numId w:val="1"/>
        </w:numPr>
        <w:rPr>
          <w:rFonts w:hint="eastAsia"/>
        </w:rPr>
      </w:pPr>
      <w:r w:rsidRPr="009638EB">
        <w:rPr>
          <w:rFonts w:hint="eastAsia"/>
        </w:rPr>
        <w:t>The design violates basic visualization principles such as reducing visual clutter and supporting effective comparison</w:t>
      </w:r>
      <w:r w:rsidR="009561FB" w:rsidRPr="009561FB">
        <w:rPr>
          <w:rFonts w:hint="eastAsia"/>
        </w:rPr>
        <w:t>.</w:t>
      </w:r>
    </w:p>
    <w:p w14:paraId="341BC06A" w14:textId="58C691E1" w:rsidR="009561FB" w:rsidRPr="009638EB" w:rsidRDefault="009561FB" w:rsidP="009561FB">
      <w:pPr>
        <w:rPr>
          <w:rFonts w:hint="eastAsia"/>
        </w:rPr>
      </w:pPr>
    </w:p>
    <w:p w14:paraId="076D2FD3" w14:textId="6AD4385F" w:rsidR="009561FB" w:rsidRPr="00FE24D8" w:rsidRDefault="009561FB" w:rsidP="009561FB">
      <w:pPr>
        <w:rPr>
          <w:rFonts w:hint="eastAsia"/>
          <w:b/>
          <w:bCs/>
        </w:rPr>
      </w:pPr>
      <w:r w:rsidRPr="00FE24D8">
        <w:rPr>
          <w:rFonts w:hint="eastAsia"/>
          <w:b/>
          <w:bCs/>
        </w:rPr>
        <w:t>Sketch Description:</w:t>
      </w:r>
    </w:p>
    <w:p w14:paraId="12582122" w14:textId="2D8675B7" w:rsidR="000F4CD7" w:rsidRDefault="000F4CD7" w:rsidP="000F4CD7">
      <w:pPr>
        <w:rPr>
          <w:rFonts w:hint="eastAsia"/>
        </w:rPr>
      </w:pPr>
      <w:r>
        <w:rPr>
          <w:rFonts w:hint="eastAsia"/>
        </w:rPr>
        <w:t xml:space="preserve">The redesigned visualization presents </w:t>
      </w:r>
      <w:r>
        <w:t>labor</w:t>
      </w:r>
      <w:r>
        <w:rPr>
          <w:rFonts w:hint="eastAsia"/>
        </w:rPr>
        <w:t xml:space="preserve"> force participation rates using a line chart. A filter is placed on the right side of the chart, allowing viewers to display </w:t>
      </w:r>
      <w:r>
        <w:t>labor</w:t>
      </w:r>
      <w:r>
        <w:rPr>
          <w:rFonts w:hint="eastAsia"/>
        </w:rPr>
        <w:t xml:space="preserve"> force participation rates for males, females, or both together. The horizontal axis represents the year, and the use of a continuous timeline on the x-axis enables viewers to easily observe long-term changes and patterns in </w:t>
      </w:r>
      <w:r>
        <w:t>labor</w:t>
      </w:r>
      <w:r>
        <w:rPr>
          <w:rFonts w:hint="eastAsia"/>
        </w:rPr>
        <w:t xml:space="preserve"> force participation rates. The vertical axis represents the </w:t>
      </w:r>
      <w:r>
        <w:t>labor</w:t>
      </w:r>
      <w:r>
        <w:rPr>
          <w:rFonts w:hint="eastAsia"/>
        </w:rPr>
        <w:t xml:space="preserve"> force participation rate, while different </w:t>
      </w:r>
      <w:r>
        <w:t>colors</w:t>
      </w:r>
      <w:r>
        <w:rPr>
          <w:rFonts w:hint="eastAsia"/>
        </w:rPr>
        <w:t xml:space="preserve"> are used to distinguish between age groups.</w:t>
      </w:r>
    </w:p>
    <w:p w14:paraId="2B8DBC1A" w14:textId="3F98D767" w:rsidR="000F4CD7" w:rsidRDefault="000F4CD7" w:rsidP="000F4CD7">
      <w:pPr>
        <w:rPr>
          <w:rFonts w:hint="eastAsia"/>
        </w:rPr>
      </w:pPr>
      <w:r>
        <w:rPr>
          <w:rFonts w:hint="eastAsia"/>
        </w:rPr>
        <w:t xml:space="preserve">To address the issue of repeated x-axis labels and unclear time information in the original visualization, the redesigned chart uses a single shared x-axis that displays the continuous progression of years. This makes the time dimension clearer and allows viewers to observe changes in </w:t>
      </w:r>
      <w:r>
        <w:t>labor</w:t>
      </w:r>
      <w:r>
        <w:rPr>
          <w:rFonts w:hint="eastAsia"/>
        </w:rPr>
        <w:t xml:space="preserve"> force participation rates over time more easily.</w:t>
      </w:r>
    </w:p>
    <w:p w14:paraId="05B00BCD" w14:textId="564825A3" w:rsidR="000F4CD7" w:rsidRDefault="000F4CD7" w:rsidP="000F4CD7">
      <w:pPr>
        <w:rPr>
          <w:rFonts w:hint="eastAsia"/>
        </w:rPr>
      </w:pPr>
      <w:r>
        <w:rPr>
          <w:rFonts w:hint="eastAsia"/>
        </w:rPr>
        <w:t xml:space="preserve">Instead of displaying each age group in separate narrow panels, the redesigned visualization combines all age groups into a single line chart. This enables viewers to directly compare trends across different age groups within the same visual space. In addition, the age groups are consolidated into broader 10-year categories to reduce the number of lines shown in the chart. This helps </w:t>
      </w:r>
      <w:r>
        <w:t>minimize</w:t>
      </w:r>
      <w:r>
        <w:rPr>
          <w:rFonts w:hint="eastAsia"/>
        </w:rPr>
        <w:t xml:space="preserve"> visual clutter while still preserving meaningful demographic patterns.</w:t>
      </w:r>
    </w:p>
    <w:p w14:paraId="20E2772D" w14:textId="77777777" w:rsidR="000F4CD7" w:rsidRDefault="000F4CD7" w:rsidP="000F4CD7">
      <w:pPr>
        <w:rPr>
          <w:b/>
          <w:bCs/>
        </w:rPr>
      </w:pPr>
      <w:r>
        <w:rPr>
          <w:rFonts w:hint="eastAsia"/>
        </w:rPr>
        <w:t xml:space="preserve">Furthermore, the redesigned visualization simplifies the overall layout by removing multiple narrow panels and replacing them with a single compact chart. This improves readability, reduces visual complexity, and creates a clearer visual hierarchy for </w:t>
      </w:r>
      <w:r>
        <w:t>viewers.</w:t>
      </w:r>
      <w:r w:rsidRPr="00FE24D8">
        <w:rPr>
          <w:b/>
          <w:bCs/>
        </w:rPr>
        <w:t xml:space="preserve"> </w:t>
      </w:r>
    </w:p>
    <w:p w14:paraId="1B311A0A" w14:textId="28D8D14E" w:rsidR="0034230D" w:rsidRPr="00FE24D8" w:rsidRDefault="000F4CD7" w:rsidP="000F4CD7">
      <w:pPr>
        <w:rPr>
          <w:rFonts w:hint="eastAsia"/>
          <w:b/>
          <w:bCs/>
        </w:rPr>
      </w:pPr>
      <w:r w:rsidRPr="00FE24D8">
        <w:rPr>
          <w:b/>
          <w:bCs/>
        </w:rPr>
        <w:lastRenderedPageBreak/>
        <w:t>Sketc</w:t>
      </w:r>
      <w:r w:rsidRPr="00FE24D8">
        <w:rPr>
          <w:rFonts w:hint="eastAsia"/>
          <w:b/>
          <w:bCs/>
        </w:rPr>
        <w:t>h</w:t>
      </w:r>
      <w:r w:rsidR="0034230D" w:rsidRPr="00FE24D8">
        <w:rPr>
          <w:rFonts w:hint="eastAsia"/>
          <w:b/>
          <w:bCs/>
        </w:rPr>
        <w:t xml:space="preserve"> Design:</w:t>
      </w:r>
    </w:p>
    <w:p w14:paraId="62A89804" w14:textId="5DD364E8" w:rsidR="0034230D" w:rsidRDefault="0034230D" w:rsidP="0034230D">
      <w:pPr>
        <w:rPr>
          <w:rFonts w:hint="eastAsia"/>
        </w:rPr>
      </w:pPr>
      <w:r>
        <w:rPr>
          <w:rFonts w:hint="eastAsia"/>
        </w:rPr>
        <w:t xml:space="preserve">        Labor Force Participation Rate by Age Group and Gender</w:t>
      </w:r>
    </w:p>
    <w:p w14:paraId="78DCC105" w14:textId="77777777" w:rsidR="0034230D" w:rsidRDefault="0034230D" w:rsidP="0034230D">
      <w:pPr>
        <w:rPr>
          <w:rFonts w:hint="eastAsia"/>
        </w:rPr>
      </w:pPr>
      <w:r>
        <w:rPr>
          <w:rFonts w:hint="eastAsia"/>
        </w:rPr>
        <w:t xml:space="preserve"> LFPR</w:t>
      </w:r>
    </w:p>
    <w:p w14:paraId="47E5C86A" w14:textId="77777777" w:rsidR="0034230D" w:rsidRDefault="0034230D" w:rsidP="0034230D">
      <w:pPr>
        <w:rPr>
          <w:rFonts w:hint="eastAsia"/>
        </w:rPr>
      </w:pPr>
      <w:r>
        <w:rPr>
          <w:rFonts w:hint="eastAsia"/>
        </w:rPr>
        <w:t xml:space="preserve"> 100 |                                     ─── Age 25-29</w:t>
      </w:r>
    </w:p>
    <w:p w14:paraId="55465E0D" w14:textId="77777777" w:rsidR="0034230D" w:rsidRDefault="0034230D" w:rsidP="0034230D">
      <w:pPr>
        <w:rPr>
          <w:rFonts w:hint="eastAsia"/>
        </w:rPr>
      </w:pPr>
      <w:r>
        <w:rPr>
          <w:rFonts w:hint="eastAsia"/>
        </w:rPr>
        <w:t xml:space="preserve">  90 |                                ─────</w:t>
      </w:r>
    </w:p>
    <w:p w14:paraId="079306DF" w14:textId="77777777" w:rsidR="0034230D" w:rsidRDefault="0034230D" w:rsidP="0034230D">
      <w:pPr>
        <w:rPr>
          <w:rFonts w:hint="eastAsia"/>
        </w:rPr>
      </w:pPr>
      <w:r>
        <w:rPr>
          <w:rFonts w:hint="eastAsia"/>
        </w:rPr>
        <w:t xml:space="preserve">  80 |                          ─────</w:t>
      </w:r>
    </w:p>
    <w:p w14:paraId="2E7B4CF0" w14:textId="77777777" w:rsidR="0034230D" w:rsidRDefault="0034230D" w:rsidP="0034230D">
      <w:pPr>
        <w:rPr>
          <w:rFonts w:hint="eastAsia"/>
        </w:rPr>
      </w:pPr>
      <w:r>
        <w:rPr>
          <w:rFonts w:hint="eastAsia"/>
        </w:rPr>
        <w:t xml:space="preserve">  70 |                     ─────</w:t>
      </w:r>
    </w:p>
    <w:p w14:paraId="4B43684E" w14:textId="77777777" w:rsidR="0034230D" w:rsidRDefault="0034230D" w:rsidP="0034230D">
      <w:pPr>
        <w:rPr>
          <w:rFonts w:hint="eastAsia"/>
        </w:rPr>
      </w:pPr>
      <w:r>
        <w:rPr>
          <w:rFonts w:hint="eastAsia"/>
        </w:rPr>
        <w:t xml:space="preserve">  60 |               ─────</w:t>
      </w:r>
    </w:p>
    <w:p w14:paraId="74055F5C" w14:textId="77777777" w:rsidR="0034230D" w:rsidRDefault="0034230D" w:rsidP="0034230D">
      <w:pPr>
        <w:rPr>
          <w:rFonts w:hint="eastAsia"/>
        </w:rPr>
      </w:pPr>
      <w:r>
        <w:rPr>
          <w:rFonts w:hint="eastAsia"/>
        </w:rPr>
        <w:t xml:space="preserve">  50 |          ─────</w:t>
      </w:r>
    </w:p>
    <w:p w14:paraId="0D284343" w14:textId="77777777" w:rsidR="0034230D" w:rsidRDefault="0034230D" w:rsidP="0034230D">
      <w:pPr>
        <w:rPr>
          <w:rFonts w:hint="eastAsia"/>
        </w:rPr>
      </w:pPr>
      <w:r>
        <w:rPr>
          <w:rFonts w:hint="eastAsia"/>
        </w:rPr>
        <w:t xml:space="preserve">  40 |     ─────</w:t>
      </w:r>
    </w:p>
    <w:p w14:paraId="5CA9181C" w14:textId="77777777" w:rsidR="0034230D" w:rsidRDefault="0034230D" w:rsidP="0034230D">
      <w:pPr>
        <w:rPr>
          <w:rFonts w:hint="eastAsia"/>
        </w:rPr>
      </w:pPr>
      <w:r>
        <w:rPr>
          <w:rFonts w:hint="eastAsia"/>
        </w:rPr>
        <w:t xml:space="preserve">  30 |  ───</w:t>
      </w:r>
    </w:p>
    <w:p w14:paraId="5E0EE1E8" w14:textId="77777777" w:rsidR="0034230D" w:rsidRDefault="0034230D" w:rsidP="0034230D">
      <w:pPr>
        <w:rPr>
          <w:rFonts w:hint="eastAsia"/>
        </w:rPr>
      </w:pPr>
      <w:r>
        <w:rPr>
          <w:rFonts w:hint="eastAsia"/>
        </w:rPr>
        <w:t xml:space="preserve">  20 |</w:t>
      </w:r>
    </w:p>
    <w:p w14:paraId="7BFD6528" w14:textId="77777777" w:rsidR="0034230D" w:rsidRDefault="0034230D" w:rsidP="0034230D">
      <w:pPr>
        <w:rPr>
          <w:rFonts w:hint="eastAsia"/>
        </w:rPr>
      </w:pPr>
      <w:r>
        <w:rPr>
          <w:rFonts w:hint="eastAsia"/>
        </w:rPr>
        <w:t xml:space="preserve">  10 |</w:t>
      </w:r>
    </w:p>
    <w:p w14:paraId="431EB49B" w14:textId="77777777" w:rsidR="0034230D" w:rsidRDefault="0034230D" w:rsidP="0034230D">
      <w:pPr>
        <w:rPr>
          <w:rFonts w:hint="eastAsia"/>
        </w:rPr>
      </w:pPr>
      <w:r>
        <w:rPr>
          <w:rFonts w:hint="eastAsia"/>
        </w:rPr>
        <w:t xml:space="preserve">   0 +---------------------------------------------------------</w:t>
      </w:r>
    </w:p>
    <w:p w14:paraId="696D1A3D" w14:textId="2C579424" w:rsidR="0034230D" w:rsidRDefault="0034230D" w:rsidP="0034230D">
      <w:pPr>
        <w:rPr>
          <w:rFonts w:hint="eastAsia"/>
        </w:rPr>
      </w:pPr>
      <w:r>
        <w:rPr>
          <w:rFonts w:hint="eastAsia"/>
        </w:rPr>
        <w:t xml:space="preserve">        1991   1995   2000   2005   2010   2015   2020   2025   Year</w:t>
      </w:r>
    </w:p>
    <w:p w14:paraId="7679030A" w14:textId="14F58E51" w:rsidR="0034230D" w:rsidRDefault="0034230D" w:rsidP="0034230D">
      <w:r w:rsidRPr="006D5D5E">
        <w:rPr>
          <w:rFonts w:hint="eastAsia"/>
          <w:b/>
          <w:bCs/>
        </w:rPr>
        <w:t>Legend</w:t>
      </w:r>
      <w:r>
        <w:rPr>
          <w:rFonts w:hint="eastAsia"/>
        </w:rPr>
        <w:t>: Different colored lines represent different age groups.</w:t>
      </w:r>
    </w:p>
    <w:p w14:paraId="6571377E" w14:textId="77777777" w:rsidR="006D5D5E" w:rsidRDefault="009638EB" w:rsidP="009638EB">
      <w:pPr>
        <w:rPr>
          <w:b/>
          <w:bCs/>
        </w:rPr>
      </w:pPr>
      <w:r w:rsidRPr="006D5D5E">
        <w:rPr>
          <w:rFonts w:hint="eastAsia"/>
          <w:b/>
          <w:bCs/>
        </w:rPr>
        <w:t>Color</w:t>
      </w:r>
      <w:r>
        <w:rPr>
          <w:rFonts w:hint="eastAsia"/>
        </w:rPr>
        <w:t>: Age group</w:t>
      </w:r>
      <w:r w:rsidR="006D5D5E" w:rsidRPr="006D5D5E">
        <w:rPr>
          <w:rFonts w:hint="eastAsia"/>
          <w:b/>
          <w:bCs/>
        </w:rPr>
        <w:t xml:space="preserve"> </w:t>
      </w:r>
    </w:p>
    <w:p w14:paraId="74869C23" w14:textId="11D2F798" w:rsidR="00FE24D8" w:rsidRPr="006D5D5E" w:rsidRDefault="009638EB" w:rsidP="009638EB">
      <w:pPr>
        <w:rPr>
          <w:b/>
          <w:bCs/>
        </w:rPr>
      </w:pPr>
      <w:r w:rsidRPr="006D5D5E">
        <w:rPr>
          <w:rFonts w:hint="eastAsia"/>
          <w:b/>
          <w:bCs/>
        </w:rPr>
        <w:t>Filte</w:t>
      </w:r>
      <w:r>
        <w:rPr>
          <w:rFonts w:hint="eastAsia"/>
        </w:rPr>
        <w:t>r: Sex</w:t>
      </w:r>
    </w:p>
    <w:p w14:paraId="4C7F788A" w14:textId="77777777" w:rsidR="009638EB" w:rsidRDefault="009638EB" w:rsidP="009638EB">
      <w:pPr>
        <w:rPr>
          <w:rFonts w:hint="eastAsia"/>
        </w:rPr>
      </w:pPr>
    </w:p>
    <w:p w14:paraId="6709A053" w14:textId="7B223567" w:rsidR="00FE24D8" w:rsidRPr="00FE24D8" w:rsidRDefault="00FE24D8" w:rsidP="0034230D">
      <w:pPr>
        <w:rPr>
          <w:rFonts w:hint="eastAsia"/>
          <w:b/>
          <w:bCs/>
        </w:rPr>
      </w:pPr>
      <w:r w:rsidRPr="00FE24D8">
        <w:rPr>
          <w:rFonts w:hint="eastAsia"/>
          <w:b/>
          <w:bCs/>
        </w:rPr>
        <w:t>Labor Force Participation Trends and Patterns:</w:t>
      </w:r>
    </w:p>
    <w:p w14:paraId="262C1E4E" w14:textId="133C0D5F" w:rsidR="00FE24D8" w:rsidRDefault="006D5D5E" w:rsidP="00FE24D8">
      <w:pPr>
        <w:pStyle w:val="a9"/>
        <w:numPr>
          <w:ilvl w:val="0"/>
          <w:numId w:val="3"/>
        </w:numPr>
      </w:pPr>
      <w:r w:rsidRPr="006D5D5E">
        <w:rPr>
          <w:rFonts w:hint="eastAsia"/>
        </w:rPr>
        <w:t>Prime working-age groups consistently show the highest participation rates</w:t>
      </w:r>
      <w:r w:rsidR="00FE24D8" w:rsidRPr="00FE24D8">
        <w:rPr>
          <w:rFonts w:hint="eastAsia"/>
        </w:rPr>
        <w:t>.</w:t>
      </w:r>
    </w:p>
    <w:p w14:paraId="14A255B1" w14:textId="5B5970AF" w:rsidR="006D5D5E" w:rsidRDefault="006D5D5E" w:rsidP="006D5D5E">
      <w:pPr>
        <w:pStyle w:val="a9"/>
        <w:ind w:left="360"/>
        <w:rPr>
          <w:rFonts w:hint="eastAsia"/>
        </w:rPr>
      </w:pPr>
      <w:r w:rsidRPr="006D5D5E">
        <w:rPr>
          <w:rFonts w:hint="eastAsia"/>
        </w:rPr>
        <w:t xml:space="preserve">The age groups between 25–34, 35–44, and 45–54 maintain the highest </w:t>
      </w:r>
      <w:r w:rsidRPr="006D5D5E">
        <w:t>labor</w:t>
      </w:r>
      <w:r w:rsidRPr="006D5D5E">
        <w:rPr>
          <w:rFonts w:hint="eastAsia"/>
        </w:rPr>
        <w:t xml:space="preserve"> force participation rates throughout the entire period. Their participation rates remain consistently above the overall average, indicating that individuals in their prime working ages are the most active in the </w:t>
      </w:r>
      <w:r w:rsidRPr="006D5D5E">
        <w:t>labor</w:t>
      </w:r>
      <w:r w:rsidRPr="006D5D5E">
        <w:rPr>
          <w:rFonts w:hint="eastAsia"/>
        </w:rPr>
        <w:t xml:space="preserve"> market.</w:t>
      </w:r>
    </w:p>
    <w:p w14:paraId="5ACEDFF5" w14:textId="15FB2BD4" w:rsidR="00FE24D8" w:rsidRDefault="006D5D5E" w:rsidP="00FE24D8">
      <w:pPr>
        <w:pStyle w:val="a9"/>
        <w:numPr>
          <w:ilvl w:val="0"/>
          <w:numId w:val="3"/>
        </w:numPr>
      </w:pPr>
      <w:r w:rsidRPr="006D5D5E">
        <w:t>Labor</w:t>
      </w:r>
      <w:r w:rsidRPr="006D5D5E">
        <w:rPr>
          <w:rFonts w:hint="eastAsia"/>
        </w:rPr>
        <w:t xml:space="preserve"> force participation among older workers has increased significantly over time</w:t>
      </w:r>
      <w:r w:rsidR="00FE24D8" w:rsidRPr="00FE24D8">
        <w:rPr>
          <w:rFonts w:hint="eastAsia"/>
        </w:rPr>
        <w:t>.</w:t>
      </w:r>
    </w:p>
    <w:p w14:paraId="5A04BD70" w14:textId="4794EBA9" w:rsidR="006D5D5E" w:rsidRDefault="006D5D5E" w:rsidP="006D5D5E">
      <w:pPr>
        <w:pStyle w:val="a9"/>
        <w:ind w:left="360"/>
        <w:rPr>
          <w:rFonts w:hint="eastAsia"/>
        </w:rPr>
      </w:pPr>
      <w:r w:rsidRPr="006D5D5E">
        <w:rPr>
          <w:rFonts w:hint="eastAsia"/>
        </w:rPr>
        <w:t>The participation rates for the 55–64 and 65–74 age groups show a clear upward trend from the early 2000s onwards. This suggests that more older individuals are remaining in the workforce, possibly due to changes in retirement policies, improved health conditions, or economic factors encouraging longer working lives.</w:t>
      </w:r>
    </w:p>
    <w:p w14:paraId="0363B6C9" w14:textId="55861F8F" w:rsidR="00FE24D8" w:rsidRDefault="006D5D5E" w:rsidP="00FE24D8">
      <w:pPr>
        <w:pStyle w:val="a9"/>
        <w:numPr>
          <w:ilvl w:val="0"/>
          <w:numId w:val="3"/>
        </w:numPr>
      </w:pPr>
      <w:r w:rsidRPr="006D5D5E">
        <w:rPr>
          <w:rFonts w:hint="eastAsia"/>
        </w:rPr>
        <w:t>Younger workers show a declining or relatively lower participation rate</w:t>
      </w:r>
      <w:r w:rsidR="00FE24D8" w:rsidRPr="00FE24D8">
        <w:rPr>
          <w:rFonts w:hint="eastAsia"/>
        </w:rPr>
        <w:t>.</w:t>
      </w:r>
    </w:p>
    <w:p w14:paraId="5A1AD063" w14:textId="2B93679B" w:rsidR="006D5D5E" w:rsidRDefault="006D5D5E" w:rsidP="006D5D5E">
      <w:pPr>
        <w:pStyle w:val="a9"/>
        <w:ind w:left="360"/>
        <w:rPr>
          <w:rFonts w:hint="eastAsia"/>
        </w:rPr>
      </w:pPr>
      <w:r w:rsidRPr="006D5D5E">
        <w:rPr>
          <w:rFonts w:hint="eastAsia"/>
        </w:rPr>
        <w:t xml:space="preserve">The 15–24 age group demonstrates a noticeable decline in </w:t>
      </w:r>
      <w:r w:rsidRPr="006D5D5E">
        <w:t>labor</w:t>
      </w:r>
      <w:r w:rsidRPr="006D5D5E">
        <w:rPr>
          <w:rFonts w:hint="eastAsia"/>
        </w:rPr>
        <w:t xml:space="preserve"> force participation from the early 1990s to the late 1990s, and remains relatively lower compared to other age groups. This may reflect increased participation in higher education or delayed entry into the </w:t>
      </w:r>
      <w:r w:rsidRPr="006D5D5E">
        <w:t>labor</w:t>
      </w:r>
      <w:r w:rsidRPr="006D5D5E">
        <w:rPr>
          <w:rFonts w:hint="eastAsia"/>
        </w:rPr>
        <w:t xml:space="preserve"> market.</w:t>
      </w:r>
    </w:p>
    <w:p w14:paraId="1DE0F400" w14:textId="62FB1694" w:rsidR="006D5D5E" w:rsidRDefault="006D5D5E" w:rsidP="006D5D5E">
      <w:pPr>
        <w:pStyle w:val="a9"/>
        <w:numPr>
          <w:ilvl w:val="0"/>
          <w:numId w:val="3"/>
        </w:numPr>
      </w:pPr>
      <w:r w:rsidRPr="006D5D5E">
        <w:rPr>
          <w:rFonts w:hint="eastAsia"/>
        </w:rPr>
        <w:t>Middle-aged groups demonstrate stable but gradually increasing participation rates</w:t>
      </w:r>
      <w:r w:rsidR="00FE24D8" w:rsidRPr="00FE24D8">
        <w:rPr>
          <w:rFonts w:hint="eastAsia"/>
        </w:rPr>
        <w:t>.</w:t>
      </w:r>
    </w:p>
    <w:p w14:paraId="2C7783E5" w14:textId="34938A7D" w:rsidR="006D5D5E" w:rsidRDefault="006D5D5E" w:rsidP="006D5D5E">
      <w:pPr>
        <w:pStyle w:val="a9"/>
        <w:ind w:left="360"/>
        <w:rPr>
          <w:rFonts w:hint="eastAsia"/>
        </w:rPr>
      </w:pPr>
      <w:r w:rsidRPr="006D5D5E">
        <w:rPr>
          <w:rFonts w:hint="eastAsia"/>
        </w:rPr>
        <w:t xml:space="preserve">The 35–44 and 45–54 age groups exhibit relatively stable participation rates with a slight upward trend over time. This indicates strong and consistent engagement in the </w:t>
      </w:r>
      <w:r w:rsidRPr="006D5D5E">
        <w:t>labor</w:t>
      </w:r>
      <w:r w:rsidRPr="006D5D5E">
        <w:rPr>
          <w:rFonts w:hint="eastAsia"/>
        </w:rPr>
        <w:t xml:space="preserve"> market among individuals in their mid-career stages.</w:t>
      </w:r>
    </w:p>
    <w:p w14:paraId="4175C890" w14:textId="2D9BA4FD" w:rsidR="00FE24D8" w:rsidRDefault="006D5D5E" w:rsidP="006D5D5E">
      <w:pPr>
        <w:pStyle w:val="a9"/>
        <w:numPr>
          <w:ilvl w:val="0"/>
          <w:numId w:val="3"/>
        </w:numPr>
      </w:pPr>
      <w:r w:rsidRPr="006D5D5E">
        <w:rPr>
          <w:rFonts w:hint="eastAsia"/>
        </w:rPr>
        <w:t>The gap between younger and older age groups has narrowed over time</w:t>
      </w:r>
      <w:r>
        <w:rPr>
          <w:rFonts w:hint="eastAsia"/>
        </w:rPr>
        <w:t>.</w:t>
      </w:r>
    </w:p>
    <w:p w14:paraId="160872A0" w14:textId="180B67C8" w:rsidR="006D5D5E" w:rsidRPr="00FE24D8" w:rsidRDefault="006D5D5E" w:rsidP="006D5D5E">
      <w:pPr>
        <w:pStyle w:val="a9"/>
        <w:ind w:left="360"/>
        <w:rPr>
          <w:rFonts w:hint="eastAsia"/>
        </w:rPr>
      </w:pPr>
      <w:r w:rsidRPr="006D5D5E">
        <w:rPr>
          <w:rFonts w:hint="eastAsia"/>
        </w:rPr>
        <w:t xml:space="preserve">Over the years, participation rates for older age groups such as 55–64 and 65–74 have increased, while the participation rate for the 15–24 group has remained relatively low. As a result, the difference between younger and older groups has gradually narrowed, reflecting structural changes in </w:t>
      </w:r>
      <w:r w:rsidRPr="006D5D5E">
        <w:t>labor</w:t>
      </w:r>
      <w:r w:rsidRPr="006D5D5E">
        <w:rPr>
          <w:rFonts w:hint="eastAsia"/>
        </w:rPr>
        <w:t xml:space="preserve"> market participation across different age groups.</w:t>
      </w:r>
    </w:p>
    <w:sectPr w:rsidR="006D5D5E" w:rsidRPr="00FE24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09E6" w14:textId="77777777" w:rsidR="002665D5" w:rsidRDefault="002665D5" w:rsidP="009561FB">
      <w:pPr>
        <w:rPr>
          <w:rFonts w:hint="eastAsia"/>
        </w:rPr>
      </w:pPr>
      <w:r>
        <w:separator/>
      </w:r>
    </w:p>
  </w:endnote>
  <w:endnote w:type="continuationSeparator" w:id="0">
    <w:p w14:paraId="643EE076" w14:textId="77777777" w:rsidR="002665D5" w:rsidRDefault="002665D5" w:rsidP="009561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2BB88" w14:textId="77777777" w:rsidR="002665D5" w:rsidRDefault="002665D5" w:rsidP="009561FB">
      <w:pPr>
        <w:rPr>
          <w:rFonts w:hint="eastAsia"/>
        </w:rPr>
      </w:pPr>
      <w:r>
        <w:separator/>
      </w:r>
    </w:p>
  </w:footnote>
  <w:footnote w:type="continuationSeparator" w:id="0">
    <w:p w14:paraId="3999202A" w14:textId="77777777" w:rsidR="002665D5" w:rsidRDefault="002665D5" w:rsidP="009561F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2BB2"/>
    <w:multiLevelType w:val="hybridMultilevel"/>
    <w:tmpl w:val="2A9E56EC"/>
    <w:lvl w:ilvl="0" w:tplc="86968B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D6B02E0"/>
    <w:multiLevelType w:val="hybridMultilevel"/>
    <w:tmpl w:val="14F67E0A"/>
    <w:lvl w:ilvl="0" w:tplc="98D6B5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7E589D"/>
    <w:multiLevelType w:val="hybridMultilevel"/>
    <w:tmpl w:val="B18CCCE2"/>
    <w:lvl w:ilvl="0" w:tplc="FDBE23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6316778">
    <w:abstractNumId w:val="2"/>
  </w:num>
  <w:num w:numId="2" w16cid:durableId="320626485">
    <w:abstractNumId w:val="1"/>
  </w:num>
  <w:num w:numId="3" w16cid:durableId="100285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24A3"/>
    <w:rsid w:val="000E7D68"/>
    <w:rsid w:val="000F4CD7"/>
    <w:rsid w:val="002665D5"/>
    <w:rsid w:val="002B24A3"/>
    <w:rsid w:val="0034230D"/>
    <w:rsid w:val="00382582"/>
    <w:rsid w:val="006D5D5E"/>
    <w:rsid w:val="007A3454"/>
    <w:rsid w:val="00807888"/>
    <w:rsid w:val="00886890"/>
    <w:rsid w:val="009561FB"/>
    <w:rsid w:val="009638EB"/>
    <w:rsid w:val="00CA1830"/>
    <w:rsid w:val="00D360B3"/>
    <w:rsid w:val="00FE2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E38A9"/>
  <w15:chartTrackingRefBased/>
  <w15:docId w15:val="{C39E0C44-D88D-4D72-81E0-9A7630CC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24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24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24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24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24A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24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24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24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24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24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24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24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24A3"/>
    <w:rPr>
      <w:rFonts w:cstheme="majorBidi"/>
      <w:color w:val="0F4761" w:themeColor="accent1" w:themeShade="BF"/>
      <w:sz w:val="28"/>
      <w:szCs w:val="28"/>
    </w:rPr>
  </w:style>
  <w:style w:type="character" w:customStyle="1" w:styleId="50">
    <w:name w:val="标题 5 字符"/>
    <w:basedOn w:val="a0"/>
    <w:link w:val="5"/>
    <w:uiPriority w:val="9"/>
    <w:semiHidden/>
    <w:rsid w:val="002B24A3"/>
    <w:rPr>
      <w:rFonts w:cstheme="majorBidi"/>
      <w:color w:val="0F4761" w:themeColor="accent1" w:themeShade="BF"/>
      <w:sz w:val="24"/>
      <w:szCs w:val="24"/>
    </w:rPr>
  </w:style>
  <w:style w:type="character" w:customStyle="1" w:styleId="60">
    <w:name w:val="标题 6 字符"/>
    <w:basedOn w:val="a0"/>
    <w:link w:val="6"/>
    <w:uiPriority w:val="9"/>
    <w:semiHidden/>
    <w:rsid w:val="002B24A3"/>
    <w:rPr>
      <w:rFonts w:cstheme="majorBidi"/>
      <w:b/>
      <w:bCs/>
      <w:color w:val="0F4761" w:themeColor="accent1" w:themeShade="BF"/>
    </w:rPr>
  </w:style>
  <w:style w:type="character" w:customStyle="1" w:styleId="70">
    <w:name w:val="标题 7 字符"/>
    <w:basedOn w:val="a0"/>
    <w:link w:val="7"/>
    <w:uiPriority w:val="9"/>
    <w:semiHidden/>
    <w:rsid w:val="002B24A3"/>
    <w:rPr>
      <w:rFonts w:cstheme="majorBidi"/>
      <w:b/>
      <w:bCs/>
      <w:color w:val="595959" w:themeColor="text1" w:themeTint="A6"/>
    </w:rPr>
  </w:style>
  <w:style w:type="character" w:customStyle="1" w:styleId="80">
    <w:name w:val="标题 8 字符"/>
    <w:basedOn w:val="a0"/>
    <w:link w:val="8"/>
    <w:uiPriority w:val="9"/>
    <w:semiHidden/>
    <w:rsid w:val="002B24A3"/>
    <w:rPr>
      <w:rFonts w:cstheme="majorBidi"/>
      <w:color w:val="595959" w:themeColor="text1" w:themeTint="A6"/>
    </w:rPr>
  </w:style>
  <w:style w:type="character" w:customStyle="1" w:styleId="90">
    <w:name w:val="标题 9 字符"/>
    <w:basedOn w:val="a0"/>
    <w:link w:val="9"/>
    <w:uiPriority w:val="9"/>
    <w:semiHidden/>
    <w:rsid w:val="002B24A3"/>
    <w:rPr>
      <w:rFonts w:eastAsiaTheme="majorEastAsia" w:cstheme="majorBidi"/>
      <w:color w:val="595959" w:themeColor="text1" w:themeTint="A6"/>
    </w:rPr>
  </w:style>
  <w:style w:type="paragraph" w:styleId="a3">
    <w:name w:val="Title"/>
    <w:basedOn w:val="a"/>
    <w:next w:val="a"/>
    <w:link w:val="a4"/>
    <w:uiPriority w:val="10"/>
    <w:qFormat/>
    <w:rsid w:val="002B24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24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24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24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24A3"/>
    <w:pPr>
      <w:spacing w:before="160" w:after="160"/>
      <w:jc w:val="center"/>
    </w:pPr>
    <w:rPr>
      <w:i/>
      <w:iCs/>
      <w:color w:val="404040" w:themeColor="text1" w:themeTint="BF"/>
    </w:rPr>
  </w:style>
  <w:style w:type="character" w:customStyle="1" w:styleId="a8">
    <w:name w:val="引用 字符"/>
    <w:basedOn w:val="a0"/>
    <w:link w:val="a7"/>
    <w:uiPriority w:val="29"/>
    <w:rsid w:val="002B24A3"/>
    <w:rPr>
      <w:i/>
      <w:iCs/>
      <w:color w:val="404040" w:themeColor="text1" w:themeTint="BF"/>
    </w:rPr>
  </w:style>
  <w:style w:type="paragraph" w:styleId="a9">
    <w:name w:val="List Paragraph"/>
    <w:basedOn w:val="a"/>
    <w:uiPriority w:val="34"/>
    <w:qFormat/>
    <w:rsid w:val="002B24A3"/>
    <w:pPr>
      <w:ind w:left="720"/>
      <w:contextualSpacing/>
    </w:pPr>
  </w:style>
  <w:style w:type="character" w:styleId="aa">
    <w:name w:val="Intense Emphasis"/>
    <w:basedOn w:val="a0"/>
    <w:uiPriority w:val="21"/>
    <w:qFormat/>
    <w:rsid w:val="002B24A3"/>
    <w:rPr>
      <w:i/>
      <w:iCs/>
      <w:color w:val="0F4761" w:themeColor="accent1" w:themeShade="BF"/>
    </w:rPr>
  </w:style>
  <w:style w:type="paragraph" w:styleId="ab">
    <w:name w:val="Intense Quote"/>
    <w:basedOn w:val="a"/>
    <w:next w:val="a"/>
    <w:link w:val="ac"/>
    <w:uiPriority w:val="30"/>
    <w:qFormat/>
    <w:rsid w:val="002B2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24A3"/>
    <w:rPr>
      <w:i/>
      <w:iCs/>
      <w:color w:val="0F4761" w:themeColor="accent1" w:themeShade="BF"/>
    </w:rPr>
  </w:style>
  <w:style w:type="character" w:styleId="ad">
    <w:name w:val="Intense Reference"/>
    <w:basedOn w:val="a0"/>
    <w:uiPriority w:val="32"/>
    <w:qFormat/>
    <w:rsid w:val="002B24A3"/>
    <w:rPr>
      <w:b/>
      <w:bCs/>
      <w:smallCaps/>
      <w:color w:val="0F4761" w:themeColor="accent1" w:themeShade="BF"/>
      <w:spacing w:val="5"/>
    </w:rPr>
  </w:style>
  <w:style w:type="paragraph" w:styleId="ae">
    <w:name w:val="header"/>
    <w:basedOn w:val="a"/>
    <w:link w:val="af"/>
    <w:uiPriority w:val="99"/>
    <w:unhideWhenUsed/>
    <w:rsid w:val="009561FB"/>
    <w:pPr>
      <w:tabs>
        <w:tab w:val="center" w:pos="4153"/>
        <w:tab w:val="right" w:pos="8306"/>
      </w:tabs>
      <w:snapToGrid w:val="0"/>
      <w:jc w:val="center"/>
    </w:pPr>
    <w:rPr>
      <w:sz w:val="18"/>
      <w:szCs w:val="18"/>
    </w:rPr>
  </w:style>
  <w:style w:type="character" w:customStyle="1" w:styleId="af">
    <w:name w:val="页眉 字符"/>
    <w:basedOn w:val="a0"/>
    <w:link w:val="ae"/>
    <w:uiPriority w:val="99"/>
    <w:rsid w:val="009561FB"/>
    <w:rPr>
      <w:sz w:val="18"/>
      <w:szCs w:val="18"/>
    </w:rPr>
  </w:style>
  <w:style w:type="paragraph" w:styleId="af0">
    <w:name w:val="footer"/>
    <w:basedOn w:val="a"/>
    <w:link w:val="af1"/>
    <w:uiPriority w:val="99"/>
    <w:unhideWhenUsed/>
    <w:rsid w:val="009561FB"/>
    <w:pPr>
      <w:tabs>
        <w:tab w:val="center" w:pos="4153"/>
        <w:tab w:val="right" w:pos="8306"/>
      </w:tabs>
      <w:snapToGrid w:val="0"/>
      <w:jc w:val="left"/>
    </w:pPr>
    <w:rPr>
      <w:sz w:val="18"/>
      <w:szCs w:val="18"/>
    </w:rPr>
  </w:style>
  <w:style w:type="character" w:customStyle="1" w:styleId="af1">
    <w:name w:val="页脚 字符"/>
    <w:basedOn w:val="a0"/>
    <w:link w:val="af0"/>
    <w:uiPriority w:val="99"/>
    <w:rsid w:val="009561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879</Words>
  <Characters>4651</Characters>
  <Application>Microsoft Office Word</Application>
  <DocSecurity>0</DocSecurity>
  <Lines>101</Lines>
  <Paragraphs>60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 HaoTian</dc:creator>
  <cp:keywords/>
  <dc:description/>
  <cp:lastModifiedBy>Bai HaoTian</cp:lastModifiedBy>
  <cp:revision>5</cp:revision>
  <dcterms:created xsi:type="dcterms:W3CDTF">2026-03-14T05:06:00Z</dcterms:created>
  <dcterms:modified xsi:type="dcterms:W3CDTF">2026-03-14T05:56:00Z</dcterms:modified>
</cp:coreProperties>
</file>