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西北</w:t>
      </w:r>
      <w:r>
        <w:t>工业大学</w:t>
      </w:r>
      <w:r>
        <w:rPr>
          <w:rFonts w:hint="eastAsia"/>
        </w:rPr>
        <w:t>20</w:t>
      </w:r>
      <w:r>
        <w:t>22-2023</w:t>
      </w:r>
      <w:r>
        <w:rPr>
          <w:rFonts w:hint="eastAsia"/>
        </w:rPr>
        <w:t>春季</w:t>
      </w:r>
      <w:r>
        <w:t>学期</w:t>
      </w:r>
    </w:p>
    <w:tbl>
      <w:tblPr>
        <w:tblStyle w:val="6"/>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3865"/>
        <w:gridCol w:w="954"/>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学号</w:t>
            </w:r>
          </w:p>
        </w:tc>
        <w:tc>
          <w:tcPr>
            <w:tcW w:w="3865" w:type="dxa"/>
          </w:tcPr>
          <w:p>
            <w:pPr>
              <w:spacing w:line="360" w:lineRule="auto"/>
              <w:rPr>
                <w:rFonts w:hint="default" w:ascii="宋体" w:hAnsi="宋体" w:eastAsia="宋体"/>
                <w:lang w:val="en-US" w:eastAsia="zh-CN"/>
              </w:rPr>
            </w:pPr>
            <w:r>
              <w:rPr>
                <w:rFonts w:hint="eastAsia" w:ascii="宋体" w:hAnsi="宋体"/>
                <w:lang w:val="en-US" w:eastAsia="zh-CN"/>
              </w:rPr>
              <w:t>2020303578</w:t>
            </w:r>
          </w:p>
        </w:tc>
        <w:tc>
          <w:tcPr>
            <w:tcW w:w="954" w:type="dxa"/>
          </w:tcPr>
          <w:p>
            <w:pPr>
              <w:spacing w:line="360" w:lineRule="auto"/>
              <w:rPr>
                <w:rFonts w:ascii="宋体" w:hAnsi="宋体"/>
              </w:rPr>
            </w:pPr>
            <w:r>
              <w:rPr>
                <w:rFonts w:hint="eastAsia" w:ascii="宋体" w:hAnsi="宋体"/>
              </w:rPr>
              <w:t>班级</w:t>
            </w:r>
          </w:p>
        </w:tc>
        <w:tc>
          <w:tcPr>
            <w:tcW w:w="3827" w:type="dxa"/>
          </w:tcPr>
          <w:p>
            <w:pPr>
              <w:spacing w:line="360" w:lineRule="auto"/>
              <w:rPr>
                <w:rFonts w:hint="default" w:ascii="宋体" w:hAnsi="宋体" w:eastAsia="宋体"/>
                <w:lang w:val="en-US" w:eastAsia="zh-CN"/>
              </w:rPr>
            </w:pPr>
            <w:r>
              <w:rPr>
                <w:rFonts w:hint="eastAsia" w:ascii="宋体" w:hAnsi="宋体"/>
                <w:lang w:val="en-US" w:eastAsia="zh-CN"/>
              </w:rPr>
              <w:t>13052001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姓名</w:t>
            </w:r>
          </w:p>
        </w:tc>
        <w:tc>
          <w:tcPr>
            <w:tcW w:w="3865" w:type="dxa"/>
          </w:tcPr>
          <w:p>
            <w:pPr>
              <w:spacing w:line="360" w:lineRule="auto"/>
              <w:rPr>
                <w:rFonts w:hint="eastAsia" w:ascii="宋体" w:hAnsi="宋体" w:eastAsia="宋体"/>
                <w:lang w:val="en-US" w:eastAsia="zh-CN"/>
              </w:rPr>
            </w:pPr>
            <w:r>
              <w:rPr>
                <w:rFonts w:hint="eastAsia" w:ascii="宋体" w:hAnsi="宋体"/>
                <w:lang w:val="en-US" w:eastAsia="zh-CN"/>
              </w:rPr>
              <w:t>唐文菁</w:t>
            </w:r>
          </w:p>
        </w:tc>
        <w:tc>
          <w:tcPr>
            <w:tcW w:w="954" w:type="dxa"/>
          </w:tcPr>
          <w:p>
            <w:pPr>
              <w:spacing w:line="360" w:lineRule="auto"/>
              <w:rPr>
                <w:rFonts w:ascii="宋体" w:hAnsi="宋体"/>
              </w:rPr>
            </w:pPr>
            <w:r>
              <w:rPr>
                <w:rFonts w:hint="eastAsia" w:ascii="宋体" w:hAnsi="宋体"/>
              </w:rPr>
              <w:t>学院</w:t>
            </w:r>
          </w:p>
        </w:tc>
        <w:tc>
          <w:tcPr>
            <w:tcW w:w="3827" w:type="dxa"/>
          </w:tcPr>
          <w:p>
            <w:pPr>
              <w:spacing w:line="360" w:lineRule="auto"/>
              <w:rPr>
                <w:rFonts w:hint="eastAsia" w:ascii="宋体" w:hAnsi="宋体" w:eastAsia="宋体"/>
                <w:lang w:val="en-US" w:eastAsia="zh-CN"/>
              </w:rPr>
            </w:pPr>
            <w:r>
              <w:rPr>
                <w:rFonts w:hint="eastAsia" w:ascii="宋体" w:hAnsi="宋体"/>
                <w:lang w:val="en-US" w:eastAsia="zh-CN"/>
              </w:rPr>
              <w:t>公共政策与管理学院</w:t>
            </w:r>
          </w:p>
        </w:tc>
      </w:tr>
    </w:tbl>
    <w:p>
      <w:pPr>
        <w:spacing w:line="360" w:lineRule="auto"/>
      </w:pPr>
      <w:r>
        <w:rPr>
          <w:rFonts w:hint="eastAsia"/>
        </w:rPr>
        <w:t>大学生信息素养课程作业</w:t>
      </w:r>
    </w:p>
    <w:tbl>
      <w:tblPr>
        <w:tblStyle w:val="6"/>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701"/>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w:t>
            </w:r>
          </w:p>
        </w:tc>
        <w:tc>
          <w:tcPr>
            <w:tcW w:w="1701" w:type="dxa"/>
          </w:tcPr>
          <w:p>
            <w:pPr>
              <w:spacing w:line="360" w:lineRule="auto"/>
              <w:rPr>
                <w:rFonts w:ascii="宋体" w:hAnsi="宋体"/>
              </w:rPr>
            </w:pPr>
            <w:r>
              <w:rPr>
                <w:rFonts w:hint="eastAsia" w:ascii="宋体" w:hAnsi="宋体"/>
              </w:rPr>
              <w:t>模块</w:t>
            </w:r>
          </w:p>
        </w:tc>
        <w:tc>
          <w:tcPr>
            <w:tcW w:w="7229" w:type="dxa"/>
          </w:tcPr>
          <w:p>
            <w:pPr>
              <w:spacing w:line="360" w:lineRule="auto"/>
              <w:rPr>
                <w:rFonts w:ascii="宋体" w:hAnsi="宋体"/>
              </w:rPr>
            </w:pPr>
            <w:r>
              <w:rPr>
                <w:rFonts w:hint="eastAsia" w:ascii="宋体" w:hAnsi="宋体"/>
              </w:rPr>
              <w:t>作业</w:t>
            </w:r>
            <w:r>
              <w:rPr>
                <w:rFonts w:ascii="宋体" w:hAnsi="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hint="eastAsia" w:ascii="宋体" w:hAnsi="宋体"/>
              </w:rPr>
              <w:t>1</w:t>
            </w:r>
          </w:p>
        </w:tc>
        <w:tc>
          <w:tcPr>
            <w:tcW w:w="1701" w:type="dxa"/>
          </w:tcPr>
          <w:p>
            <w:pPr>
              <w:spacing w:line="360" w:lineRule="auto"/>
              <w:rPr>
                <w:rFonts w:ascii="宋体" w:hAnsi="宋体"/>
                <w:color w:val="auto"/>
                <w:highlight w:val="none"/>
              </w:rPr>
            </w:pPr>
            <w:r>
              <w:rPr>
                <w:rFonts w:hint="eastAsia" w:ascii="宋体" w:hAnsi="宋体"/>
                <w:color w:val="auto"/>
                <w:highlight w:val="none"/>
              </w:rPr>
              <w:t>科学</w:t>
            </w:r>
          </w:p>
          <w:p>
            <w:pPr>
              <w:spacing w:line="360" w:lineRule="auto"/>
              <w:rPr>
                <w:rFonts w:ascii="宋体" w:hAnsi="宋体"/>
              </w:rPr>
            </w:pPr>
            <w:r>
              <w:rPr>
                <w:rFonts w:hint="eastAsia" w:ascii="宋体" w:hAnsi="宋体"/>
              </w:rPr>
              <w:t>【信息获取】</w:t>
            </w:r>
          </w:p>
        </w:tc>
        <w:tc>
          <w:tcPr>
            <w:tcW w:w="7229" w:type="dxa"/>
          </w:tcPr>
          <w:p>
            <w:pPr>
              <w:spacing w:line="360" w:lineRule="auto"/>
              <w:rPr>
                <w:rFonts w:ascii="宋体" w:hAnsi="宋体"/>
              </w:rPr>
            </w:pPr>
            <w:r>
              <w:rPr>
                <w:rFonts w:hint="eastAsia" w:ascii="宋体" w:hAnsi="宋体"/>
              </w:rPr>
              <w:t>查询维基百科、百度百科等，应用P</w:t>
            </w:r>
            <w:r>
              <w:rPr>
                <w:rFonts w:ascii="宋体" w:hAnsi="宋体"/>
              </w:rPr>
              <w:t>PT</w:t>
            </w:r>
            <w:r>
              <w:rPr>
                <w:rFonts w:hint="eastAsia" w:ascii="宋体" w:hAnsi="宋体"/>
              </w:rPr>
              <w:t>、</w:t>
            </w:r>
            <w:r>
              <w:rPr>
                <w:rFonts w:ascii="宋体" w:hAnsi="宋体"/>
              </w:rPr>
              <w:t>Timeline JS（https://timeline.knightlab.com/）、vis.js Timeline（https://visjs.github.io/vis-timeline/）</w:t>
            </w:r>
            <w:r>
              <w:rPr>
                <w:rFonts w:hint="eastAsia" w:ascii="宋体" w:hAnsi="宋体"/>
              </w:rPr>
              <w:t>、（</w:t>
            </w:r>
            <w:r>
              <w:rPr>
                <w:rFonts w:ascii="宋体" w:hAnsi="宋体"/>
              </w:rPr>
              <w:t>https://time.graphics/</w:t>
            </w:r>
            <w:r>
              <w:rPr>
                <w:rFonts w:hint="eastAsia" w:ascii="宋体" w:hAnsi="宋体"/>
              </w:rPr>
              <w:t>）、（</w:t>
            </w:r>
            <w:r>
              <w:rPr>
                <w:rFonts w:ascii="宋体" w:hAnsi="宋体"/>
              </w:rPr>
              <w:t>http://free-timeline.com/</w:t>
            </w:r>
            <w:r>
              <w:rPr>
                <w:rFonts w:hint="eastAsia" w:ascii="宋体" w:hAnsi="宋体"/>
              </w:rPr>
              <w:t>）等“制作时间线”的软件工具，</w:t>
            </w:r>
            <w:r>
              <w:rPr>
                <w:rFonts w:ascii="宋体" w:hAnsi="宋体"/>
              </w:rPr>
              <w:t>要求截图或制作动画、视频</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用时间线形式简述科学发展史，从最早的源头（公元前</w:t>
            </w:r>
            <w:r>
              <w:rPr>
                <w:rFonts w:ascii="宋体" w:hAnsi="宋体"/>
              </w:rPr>
              <w:t>3000左右到1200</w:t>
            </w:r>
            <w:r>
              <w:rPr>
                <w:rFonts w:hint="eastAsia" w:ascii="宋体" w:hAnsi="宋体"/>
              </w:rPr>
              <w:t>）到2</w:t>
            </w:r>
            <w:r>
              <w:rPr>
                <w:rFonts w:ascii="宋体" w:hAnsi="宋体"/>
              </w:rPr>
              <w:t>1</w:t>
            </w:r>
            <w:r>
              <w:rPr>
                <w:rFonts w:hint="eastAsia" w:ascii="宋体" w:hAnsi="宋体"/>
              </w:rPr>
              <w:t>世纪。写出关键的科学突破、科学家和科学事件。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2</w:t>
            </w:r>
          </w:p>
        </w:tc>
        <w:tc>
          <w:tcPr>
            <w:tcW w:w="1701" w:type="dxa"/>
          </w:tcPr>
          <w:p>
            <w:pPr>
              <w:spacing w:line="360" w:lineRule="auto"/>
              <w:rPr>
                <w:rFonts w:ascii="宋体" w:hAnsi="宋体"/>
              </w:rPr>
            </w:pPr>
            <w:r>
              <w:rPr>
                <w:rFonts w:hint="eastAsia" w:ascii="宋体" w:hAnsi="宋体"/>
              </w:rPr>
              <w:t>逻辑</w:t>
            </w:r>
          </w:p>
          <w:p>
            <w:pPr>
              <w:spacing w:line="360" w:lineRule="auto"/>
              <w:rPr>
                <w:rFonts w:ascii="宋体" w:hAnsi="宋体"/>
              </w:rPr>
            </w:pPr>
            <w:r>
              <w:rPr>
                <w:rFonts w:hint="eastAsia" w:ascii="宋体" w:hAnsi="宋体"/>
              </w:rPr>
              <w:t>【信息传输/存储】</w:t>
            </w:r>
          </w:p>
        </w:tc>
        <w:tc>
          <w:tcPr>
            <w:tcW w:w="7229" w:type="dxa"/>
          </w:tcPr>
          <w:p>
            <w:pPr>
              <w:spacing w:line="360" w:lineRule="auto"/>
              <w:rPr>
                <w:rFonts w:ascii="宋体" w:hAnsi="宋体"/>
              </w:rPr>
            </w:pPr>
            <w:r>
              <w:rPr>
                <w:rFonts w:hint="eastAsia" w:ascii="宋体" w:hAnsi="宋体"/>
              </w:rPr>
              <w:t>查询维基百科、百度百科等</w:t>
            </w:r>
          </w:p>
          <w:p>
            <w:pPr>
              <w:spacing w:line="360" w:lineRule="auto"/>
              <w:rPr>
                <w:rFonts w:ascii="宋体" w:hAnsi="宋体"/>
              </w:rPr>
            </w:pPr>
            <w:r>
              <w:rPr>
                <w:rFonts w:hint="eastAsia" w:ascii="宋体" w:hAnsi="宋体"/>
              </w:rPr>
              <w:t>给出推动逻辑学发展的十位重要学者及其贡献简介。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3</w:t>
            </w:r>
          </w:p>
        </w:tc>
        <w:tc>
          <w:tcPr>
            <w:tcW w:w="1701" w:type="dxa"/>
          </w:tcPr>
          <w:p>
            <w:pPr>
              <w:spacing w:line="360" w:lineRule="auto"/>
              <w:rPr>
                <w:rFonts w:ascii="宋体" w:hAnsi="宋体"/>
              </w:rPr>
            </w:pPr>
            <w:r>
              <w:rPr>
                <w:rFonts w:hint="eastAsia" w:ascii="宋体" w:hAnsi="宋体"/>
              </w:rPr>
              <w:t>伦理学</w:t>
            </w:r>
          </w:p>
          <w:p>
            <w:pPr>
              <w:spacing w:line="360" w:lineRule="auto"/>
              <w:rPr>
                <w:rFonts w:ascii="宋体" w:hAnsi="宋体"/>
              </w:rPr>
            </w:pPr>
            <w:r>
              <w:rPr>
                <w:rFonts w:hint="eastAsia" w:ascii="宋体" w:hAnsi="宋体"/>
              </w:rPr>
              <w:t>【信息处理】</w:t>
            </w:r>
          </w:p>
        </w:tc>
        <w:tc>
          <w:tcPr>
            <w:tcW w:w="7229" w:type="dxa"/>
          </w:tcPr>
          <w:p>
            <w:pPr>
              <w:spacing w:line="360" w:lineRule="auto"/>
              <w:rPr>
                <w:rFonts w:ascii="宋体" w:hAnsi="宋体"/>
              </w:rPr>
            </w:pPr>
            <w:r>
              <w:rPr>
                <w:rFonts w:hint="eastAsia" w:ascii="宋体" w:hAnsi="宋体"/>
              </w:rPr>
              <w:t>借助</w:t>
            </w:r>
            <w:r>
              <w:rPr>
                <w:rFonts w:ascii="宋体" w:hAnsi="宋体"/>
              </w:rPr>
              <w:t>Explore Google Earth、Google Earth Studio、Timelapse、Google Earth Pro工具，查询</w:t>
            </w:r>
            <w:r>
              <w:rPr>
                <w:rFonts w:ascii="宋体" w:hAnsi="宋体"/>
                <w:highlight w:val="none"/>
              </w:rPr>
              <w:t>塞罕坝</w:t>
            </w:r>
            <w:r>
              <w:rPr>
                <w:rFonts w:ascii="宋体" w:hAnsi="宋体"/>
              </w:rPr>
              <w:t>、毛乌素沙漠治沙演进，要求截图或制作动画、视频</w:t>
            </w:r>
            <w:r>
              <w:rPr>
                <w:rFonts w:hint="eastAsia" w:ascii="宋体" w:hAnsi="宋体"/>
              </w:rPr>
              <w:t>。</w:t>
            </w:r>
          </w:p>
          <w:p>
            <w:pPr>
              <w:spacing w:line="360" w:lineRule="auto"/>
              <w:rPr>
                <w:rFonts w:ascii="宋体" w:hAnsi="宋体"/>
              </w:rPr>
            </w:pPr>
            <w:r>
              <w:rPr>
                <w:rFonts w:hint="eastAsia" w:ascii="宋体" w:hAnsi="宋体"/>
              </w:rPr>
              <w:t>【提示：可以使用截图、录制屏幕视频工具，例如</w:t>
            </w:r>
            <w:r>
              <w:rPr>
                <w:rFonts w:ascii="宋体" w:hAnsi="宋体"/>
              </w:rPr>
              <w:t>vokoscreenNG、Captura、ScreenToGif、Lightscreen</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从地球诞生到现代社会的生态演进史，简述生态文明建设和绿色发展的重要性。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4</w:t>
            </w:r>
          </w:p>
        </w:tc>
        <w:tc>
          <w:tcPr>
            <w:tcW w:w="1701" w:type="dxa"/>
          </w:tcPr>
          <w:p>
            <w:pPr>
              <w:spacing w:line="360" w:lineRule="auto"/>
              <w:rPr>
                <w:rFonts w:ascii="宋体" w:hAnsi="宋体"/>
              </w:rPr>
            </w:pPr>
            <w:r>
              <w:rPr>
                <w:rFonts w:hint="eastAsia" w:ascii="宋体" w:hAnsi="宋体"/>
              </w:rPr>
              <w:t>信息素养</w:t>
            </w:r>
          </w:p>
          <w:p>
            <w:pPr>
              <w:spacing w:line="360" w:lineRule="auto"/>
              <w:rPr>
                <w:rFonts w:ascii="宋体" w:hAnsi="宋体"/>
              </w:rPr>
            </w:pPr>
            <w:r>
              <w:rPr>
                <w:rFonts w:hint="eastAsia" w:ascii="宋体" w:hAnsi="宋体"/>
              </w:rPr>
              <w:t>【信息呈现】</w:t>
            </w:r>
          </w:p>
        </w:tc>
        <w:tc>
          <w:tcPr>
            <w:tcW w:w="7229" w:type="dxa"/>
          </w:tcPr>
          <w:p>
            <w:pPr>
              <w:spacing w:line="360" w:lineRule="auto"/>
              <w:rPr>
                <w:rFonts w:ascii="宋体" w:hAnsi="宋体"/>
              </w:rPr>
            </w:pPr>
            <w:r>
              <w:rPr>
                <w:rFonts w:hint="eastAsia" w:ascii="宋体" w:hAnsi="宋体"/>
              </w:rPr>
              <w:t>可以</w:t>
            </w:r>
          </w:p>
          <w:p>
            <w:pPr>
              <w:spacing w:line="360" w:lineRule="auto"/>
              <w:rPr>
                <w:rFonts w:ascii="宋体" w:hAnsi="宋体"/>
              </w:rPr>
            </w:pPr>
            <w:r>
              <w:rPr>
                <w:rFonts w:hint="eastAsia" w:ascii="宋体" w:hAnsi="宋体"/>
              </w:rPr>
              <w:t>（</w:t>
            </w:r>
            <w:r>
              <w:rPr>
                <w:rFonts w:ascii="宋体" w:hAnsi="宋体"/>
              </w:rPr>
              <w:t>1）使用软件工具，例如Flourish studio（https://flourish.studio/）、FunWorld-数据播放器（https://www.funworld.fun/）</w:t>
            </w:r>
          </w:p>
          <w:p>
            <w:pPr>
              <w:spacing w:line="360" w:lineRule="auto"/>
              <w:rPr>
                <w:rFonts w:ascii="宋体" w:hAnsi="宋体"/>
              </w:rPr>
            </w:pPr>
            <w:r>
              <w:rPr>
                <w:rFonts w:hint="eastAsia" w:ascii="宋体" w:hAnsi="宋体"/>
              </w:rPr>
              <w:t>（</w:t>
            </w:r>
            <w:r>
              <w:rPr>
                <w:rFonts w:ascii="宋体" w:hAnsi="宋体"/>
              </w:rPr>
              <w:t>2）使用编程工具，例如Python、Javascript、R语言（搜索Animated Bar Chart Race）</w:t>
            </w:r>
          </w:p>
          <w:p>
            <w:pPr>
              <w:spacing w:line="360" w:lineRule="auto"/>
              <w:rPr>
                <w:rFonts w:ascii="宋体" w:hAnsi="宋体"/>
              </w:rPr>
            </w:pPr>
          </w:p>
          <w:p>
            <w:pPr>
              <w:spacing w:line="360" w:lineRule="auto"/>
              <w:rPr>
                <w:rFonts w:ascii="宋体" w:hAnsi="宋体"/>
              </w:rPr>
            </w:pPr>
            <w:r>
              <w:rPr>
                <w:rFonts w:hint="eastAsia" w:ascii="宋体" w:hAnsi="宋体"/>
              </w:rPr>
              <w:t>制作动态排名榜，信息自选（例如：世界各国G</w:t>
            </w:r>
            <w:r>
              <w:rPr>
                <w:rFonts w:ascii="宋体" w:hAnsi="宋体"/>
              </w:rPr>
              <w:t>DP</w:t>
            </w:r>
            <w:r>
              <w:rPr>
                <w:rFonts w:hint="eastAsia" w:ascii="宋体" w:hAnsi="宋体"/>
              </w:rPr>
              <w:t>、专利申请等等）</w:t>
            </w:r>
          </w:p>
          <w:p>
            <w:pPr>
              <w:spacing w:line="360" w:lineRule="auto"/>
              <w:rPr>
                <w:rFonts w:ascii="宋体" w:hAnsi="宋体"/>
              </w:rPr>
            </w:pPr>
            <w:r>
              <w:drawing>
                <wp:inline distT="0" distB="0" distL="0" distR="0">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823335" cy="2661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5</w:t>
            </w:r>
          </w:p>
        </w:tc>
        <w:tc>
          <w:tcPr>
            <w:tcW w:w="1701" w:type="dxa"/>
          </w:tcPr>
          <w:p>
            <w:pPr>
              <w:spacing w:line="360" w:lineRule="auto"/>
              <w:rPr>
                <w:rFonts w:ascii="宋体" w:hAnsi="宋体"/>
              </w:rPr>
            </w:pPr>
            <w:r>
              <w:rPr>
                <w:rFonts w:hint="eastAsia" w:ascii="宋体" w:hAnsi="宋体"/>
              </w:rPr>
              <w:t>信息能力</w:t>
            </w:r>
          </w:p>
          <w:p>
            <w:pPr>
              <w:spacing w:line="360" w:lineRule="auto"/>
              <w:rPr>
                <w:rFonts w:ascii="宋体" w:hAnsi="宋体"/>
              </w:rPr>
            </w:pPr>
            <w:r>
              <w:rPr>
                <w:rFonts w:hint="eastAsia" w:ascii="宋体" w:hAnsi="宋体"/>
              </w:rPr>
              <w:t>【信息识别】</w:t>
            </w:r>
          </w:p>
        </w:tc>
        <w:tc>
          <w:tcPr>
            <w:tcW w:w="7229" w:type="dxa"/>
          </w:tcPr>
          <w:p>
            <w:pPr>
              <w:spacing w:line="360" w:lineRule="auto"/>
              <w:rPr>
                <w:rFonts w:ascii="宋体" w:hAnsi="宋体"/>
              </w:rPr>
            </w:pPr>
            <w:r>
              <w:rPr>
                <w:rFonts w:hint="eastAsia" w:ascii="宋体" w:hAnsi="宋体"/>
              </w:rPr>
              <w:t>从网上查找，马太效应在虚拟世界中的表现是怎么样的，及其出现的原因。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6</w:t>
            </w:r>
          </w:p>
        </w:tc>
        <w:tc>
          <w:tcPr>
            <w:tcW w:w="1701" w:type="dxa"/>
          </w:tcPr>
          <w:p>
            <w:pPr>
              <w:spacing w:line="360" w:lineRule="auto"/>
              <w:rPr>
                <w:rFonts w:ascii="宋体" w:hAnsi="宋体"/>
              </w:rPr>
            </w:pPr>
            <w:r>
              <w:rPr>
                <w:rFonts w:hint="eastAsia" w:ascii="宋体" w:hAnsi="宋体"/>
              </w:rPr>
              <w:t>创新</w:t>
            </w:r>
          </w:p>
          <w:p>
            <w:pPr>
              <w:spacing w:line="360" w:lineRule="auto"/>
              <w:rPr>
                <w:rFonts w:ascii="宋体" w:hAnsi="宋体"/>
              </w:rPr>
            </w:pPr>
            <w:r>
              <w:rPr>
                <w:rFonts w:hint="eastAsia" w:ascii="宋体" w:hAnsi="宋体"/>
              </w:rPr>
              <w:t>综合大作业</w:t>
            </w:r>
          </w:p>
        </w:tc>
        <w:tc>
          <w:tcPr>
            <w:tcW w:w="7229" w:type="dxa"/>
          </w:tcPr>
          <w:p>
            <w:pPr>
              <w:spacing w:line="360" w:lineRule="auto"/>
              <w:rPr>
                <w:rFonts w:ascii="宋体" w:hAnsi="宋体"/>
              </w:rPr>
            </w:pPr>
            <w:r>
              <w:rPr>
                <w:rFonts w:hint="eastAsia" w:ascii="宋体" w:hAnsi="宋体"/>
              </w:rPr>
              <w:t>本题为选做题，若完成则课程总成绩起点为9</w:t>
            </w:r>
            <w:r>
              <w:rPr>
                <w:rFonts w:ascii="宋体" w:hAnsi="宋体"/>
              </w:rPr>
              <w:t>0</w:t>
            </w:r>
            <w:r>
              <w:rPr>
                <w:rFonts w:hint="eastAsia" w:ascii="宋体" w:hAnsi="宋体"/>
              </w:rPr>
              <w:t>分，否则起点为8</w:t>
            </w:r>
            <w:r>
              <w:rPr>
                <w:rFonts w:ascii="宋体" w:hAnsi="宋体"/>
              </w:rPr>
              <w:t>0</w:t>
            </w:r>
            <w:r>
              <w:rPr>
                <w:rFonts w:hint="eastAsia" w:ascii="宋体" w:hAnsi="宋体"/>
              </w:rPr>
              <w:t>分。</w:t>
            </w:r>
          </w:p>
          <w:p>
            <w:pPr>
              <w:spacing w:line="360" w:lineRule="auto"/>
              <w:rPr>
                <w:rFonts w:ascii="宋体" w:hAnsi="宋体"/>
              </w:rPr>
            </w:pPr>
            <w:r>
              <w:rPr>
                <w:rFonts w:hint="eastAsia" w:ascii="宋体" w:hAnsi="宋体"/>
              </w:rPr>
              <w:t>使用</w:t>
            </w:r>
            <w:r>
              <w:rPr>
                <w:rFonts w:ascii="宋体" w:hAnsi="宋体"/>
              </w:rPr>
              <w:t>Adobe Premiere、Photoshop、After Effect等视频软件</w:t>
            </w:r>
            <w:r>
              <w:rPr>
                <w:rFonts w:hint="eastAsia" w:ascii="宋体" w:hAnsi="宋体"/>
              </w:rPr>
              <w:t>做一段不少于3</w:t>
            </w:r>
            <w:r>
              <w:rPr>
                <w:rFonts w:ascii="宋体" w:hAnsi="宋体"/>
              </w:rPr>
              <w:t>0</w:t>
            </w:r>
            <w:r>
              <w:rPr>
                <w:rFonts w:hint="eastAsia" w:ascii="宋体" w:hAnsi="宋体"/>
              </w:rPr>
              <w:t>秒的视频</w:t>
            </w:r>
          </w:p>
          <w:p>
            <w:pPr>
              <w:spacing w:line="360" w:lineRule="auto"/>
              <w:rPr>
                <w:rFonts w:ascii="宋体" w:hAnsi="宋体"/>
              </w:rPr>
            </w:pPr>
            <w:r>
              <w:rPr>
                <w:rFonts w:hint="eastAsia" w:ascii="宋体" w:hAnsi="宋体"/>
              </w:rPr>
              <w:t>（1）展现视频特技效果、抠像效果</w:t>
            </w:r>
          </w:p>
          <w:p>
            <w:pPr>
              <w:spacing w:line="360" w:lineRule="auto"/>
              <w:rPr>
                <w:rFonts w:ascii="宋体" w:hAnsi="宋体"/>
              </w:rPr>
            </w:pPr>
            <w:r>
              <w:rPr>
                <w:rFonts w:hint="eastAsia" w:ascii="宋体" w:hAnsi="宋体"/>
              </w:rPr>
              <w:t>（2）展现字幕</w:t>
            </w:r>
          </w:p>
          <w:p>
            <w:pPr>
              <w:spacing w:line="360" w:lineRule="auto"/>
              <w:rPr>
                <w:rFonts w:ascii="宋体" w:hAnsi="宋体"/>
              </w:rPr>
            </w:pPr>
            <w:r>
              <w:rPr>
                <w:rFonts w:hint="eastAsia" w:ascii="宋体" w:hAnsi="宋体"/>
              </w:rPr>
              <w:t>（3）内容向上、体现风貌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4" w:type="dxa"/>
            <w:gridSpan w:val="3"/>
          </w:tcPr>
          <w:p>
            <w:pPr>
              <w:spacing w:line="360" w:lineRule="auto"/>
              <w:jc w:val="center"/>
              <w:rPr>
                <w:rFonts w:ascii="宋体" w:hAnsi="宋体"/>
                <w:b/>
                <w:color w:val="FF0000"/>
                <w:sz w:val="28"/>
                <w:szCs w:val="28"/>
              </w:rPr>
            </w:pPr>
            <w:r>
              <w:rPr>
                <w:rFonts w:hint="eastAsia" w:ascii="宋体" w:hAnsi="宋体"/>
                <w:b/>
                <w:color w:val="FF0000"/>
                <w:sz w:val="28"/>
                <w:szCs w:val="28"/>
              </w:rPr>
              <w:t>以上作业提交的内容若不正确、不健康、违反法律等</w:t>
            </w:r>
          </w:p>
          <w:p>
            <w:pPr>
              <w:spacing w:line="360" w:lineRule="auto"/>
              <w:jc w:val="center"/>
              <w:rPr>
                <w:rFonts w:ascii="宋体" w:hAnsi="宋体"/>
                <w:b/>
                <w:color w:val="FF0000"/>
                <w:sz w:val="28"/>
                <w:szCs w:val="28"/>
              </w:rPr>
            </w:pPr>
            <w:r>
              <w:rPr>
                <w:rFonts w:hint="eastAsia" w:ascii="宋体" w:hAnsi="宋体"/>
                <w:b/>
                <w:color w:val="FF0000"/>
                <w:sz w:val="28"/>
                <w:szCs w:val="28"/>
              </w:rPr>
              <w:t>课程总成绩一律为</w:t>
            </w:r>
            <w:r>
              <w:rPr>
                <w:rFonts w:ascii="宋体" w:hAnsi="宋体"/>
                <w:b/>
                <w:color w:val="FF0000"/>
                <w:sz w:val="28"/>
                <w:szCs w:val="28"/>
              </w:rPr>
              <w:t>0</w:t>
            </w:r>
            <w:r>
              <w:rPr>
                <w:rFonts w:hint="eastAsia" w:ascii="宋体" w:hAnsi="宋体"/>
                <w:b/>
                <w:color w:val="FF0000"/>
                <w:sz w:val="28"/>
                <w:szCs w:val="28"/>
              </w:rPr>
              <w:t>分。</w:t>
            </w:r>
          </w:p>
        </w:tc>
      </w:tr>
    </w:tbl>
    <w:p>
      <w:pPr>
        <w:spacing w:line="360" w:lineRule="auto"/>
      </w:pPr>
    </w:p>
    <w:p>
      <w:pPr>
        <w:widowControl/>
        <w:jc w:val="left"/>
      </w:pPr>
      <w:r>
        <w:br w:type="page"/>
      </w:r>
    </w:p>
    <w:p>
      <w:pPr>
        <w:spacing w:line="360" w:lineRule="auto"/>
      </w:pPr>
      <w:r>
        <w:rPr>
          <w:rFonts w:hint="eastAsia"/>
        </w:rPr>
        <w:t>作业提交方法：</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tcPr>
          <w:p>
            <w:pPr>
              <w:spacing w:line="360" w:lineRule="auto"/>
            </w:pPr>
            <w:r>
              <w:rPr>
                <w:rFonts w:hint="eastAsia"/>
              </w:rPr>
              <w:t>步骤</w:t>
            </w:r>
          </w:p>
        </w:tc>
        <w:tc>
          <w:tcPr>
            <w:tcW w:w="8215" w:type="dxa"/>
          </w:tcPr>
          <w:p>
            <w:pPr>
              <w:spacing w:line="360" w:lineRule="auto"/>
            </w:pPr>
            <w:r>
              <w:rPr>
                <w:rFonts w:hint="eastAsia"/>
              </w:rPr>
              <w:t>请在</w:t>
            </w:r>
          </w:p>
          <w:p>
            <w:pPr>
              <w:spacing w:line="360" w:lineRule="auto"/>
            </w:pPr>
            <w:r>
              <w:rPr>
                <w:rFonts w:hint="eastAsia"/>
              </w:rPr>
              <w:t>（1）G</w:t>
            </w:r>
            <w:r>
              <w:t>ithub</w:t>
            </w:r>
            <w:r>
              <w:rPr>
                <w:rFonts w:hint="eastAsia"/>
              </w:rPr>
              <w:t>（</w:t>
            </w:r>
            <w:r>
              <w:t>https://github.com/</w:t>
            </w:r>
            <w:r>
              <w:rPr>
                <w:rFonts w:hint="eastAsia"/>
              </w:rPr>
              <w:t>）或者G</w:t>
            </w:r>
            <w:r>
              <w:t>itee</w:t>
            </w:r>
            <w:r>
              <w:rPr>
                <w:rFonts w:hint="eastAsia"/>
              </w:rPr>
              <w:t>（</w:t>
            </w:r>
            <w:r>
              <w:t>https://gitee.com/</w:t>
            </w:r>
            <w:r>
              <w:rPr>
                <w:rFonts w:hint="eastAsia"/>
              </w:rPr>
              <w:t>）、上申请个人账号X</w:t>
            </w:r>
            <w:r>
              <w:t>XX</w:t>
            </w:r>
            <w:r>
              <w:rPr>
                <w:rFonts w:hint="eastAsia"/>
              </w:rPr>
              <w:t>。</w:t>
            </w:r>
          </w:p>
          <w:p>
            <w:pPr>
              <w:spacing w:line="360" w:lineRule="auto"/>
            </w:pPr>
            <w:r>
              <w:rPr>
                <w:rFonts w:hint="eastAsia"/>
              </w:rPr>
              <w:t>（2）创建一个名称为CIL项目（</w:t>
            </w:r>
            <w:r>
              <w:t>Collegiate Information Literacy</w:t>
            </w:r>
            <w:r>
              <w:rPr>
                <w:rFonts w:hint="eastAsia"/>
              </w:rPr>
              <w:t>，大学生信息素养简称），注意名称全为大写字母。</w:t>
            </w:r>
          </w:p>
          <w:p>
            <w:pPr>
              <w:spacing w:line="360" w:lineRule="auto"/>
            </w:pPr>
            <w:r>
              <w:rPr>
                <w:rFonts w:hint="eastAsia"/>
              </w:rPr>
              <w:t>（3）该项目最终可通过（</w:t>
            </w:r>
            <w:r>
              <w:t>https://github.com/XXX/CIL</w:t>
            </w:r>
            <w:r>
              <w:rPr>
                <w:rFonts w:hint="eastAsia"/>
              </w:rPr>
              <w:t>）或（</w:t>
            </w:r>
            <w:r>
              <w:t>https://gitee.com/XXX/CIL</w:t>
            </w:r>
            <w:r>
              <w:rPr>
                <w:rFonts w:hint="eastAsia"/>
              </w:rPr>
              <w:t>）访问。</w:t>
            </w:r>
          </w:p>
          <w:p>
            <w:pPr>
              <w:spacing w:line="360" w:lineRule="auto"/>
            </w:pPr>
            <w:r>
              <w:rPr>
                <w:rFonts w:hint="eastAsia"/>
              </w:rPr>
              <w:t>（4）在该项目下，分别创建5个文件夹存放上述作业的答题结果文件。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图示</w:t>
            </w:r>
          </w:p>
        </w:tc>
        <w:tc>
          <w:tcPr>
            <w:tcW w:w="8215" w:type="dxa"/>
          </w:tcPr>
          <w:p>
            <w:pPr>
              <w:spacing w:line="360" w:lineRule="auto"/>
            </w:pPr>
            <w:r>
              <w:t>https://github.com/XXX/CIL</w:t>
            </w:r>
            <w:r>
              <w:rPr>
                <w:rFonts w:hint="eastAsia"/>
              </w:rPr>
              <w:t>、</w:t>
            </w:r>
            <w:r>
              <w:t>https://gitee.com/XXX/CIL</w:t>
            </w:r>
            <w:r>
              <w:rPr>
                <w:rFonts w:hint="eastAsia"/>
              </w:rPr>
              <w:t>下文件夹示例</w:t>
            </w:r>
          </w:p>
          <w:p>
            <w:pPr>
              <w:spacing w:line="360" w:lineRule="auto"/>
            </w:pPr>
            <w:r>
              <w:rPr>
                <w:rFonts w:hint="eastAsia"/>
              </w:rPr>
              <w:t>hom</w:t>
            </w:r>
            <w:r>
              <w:t>ework1</w:t>
            </w:r>
            <w:r>
              <w:rPr>
                <w:rFonts w:hint="eastAsia"/>
              </w:rPr>
              <w:t>，存放作业1全部的文件（包括W</w:t>
            </w:r>
            <w:r>
              <w:t>ORD</w:t>
            </w:r>
            <w:r>
              <w:rPr>
                <w:rFonts w:hint="eastAsia"/>
              </w:rPr>
              <w:t>、图片、视频等等）</w:t>
            </w:r>
          </w:p>
          <w:p>
            <w:pPr>
              <w:spacing w:line="360" w:lineRule="auto"/>
            </w:pPr>
            <w:r>
              <w:rPr>
                <w:rFonts w:hint="eastAsia"/>
              </w:rPr>
              <w:t>hom</w:t>
            </w:r>
            <w:r>
              <w:t>ework2</w:t>
            </w:r>
            <w:r>
              <w:rPr>
                <w:rFonts w:hint="eastAsia"/>
              </w:rPr>
              <w:t>，存放作业2全部的文件（包括W</w:t>
            </w:r>
            <w:r>
              <w:t>ORD</w:t>
            </w:r>
            <w:r>
              <w:rPr>
                <w:rFonts w:hint="eastAsia"/>
              </w:rPr>
              <w:t>、图片、视频等等）</w:t>
            </w:r>
          </w:p>
          <w:p>
            <w:pPr>
              <w:spacing w:line="360" w:lineRule="auto"/>
            </w:pPr>
            <w:r>
              <w:rPr>
                <w:rFonts w:hint="eastAsia"/>
              </w:rPr>
              <w:t>hom</w:t>
            </w:r>
            <w:r>
              <w:t>ework3</w:t>
            </w:r>
            <w:r>
              <w:rPr>
                <w:rFonts w:hint="eastAsia"/>
              </w:rPr>
              <w:t>，存放作业3全部的文件（包括W</w:t>
            </w:r>
            <w:r>
              <w:t>ORD</w:t>
            </w:r>
            <w:r>
              <w:rPr>
                <w:rFonts w:hint="eastAsia"/>
              </w:rPr>
              <w:t>、图片、视频等等）</w:t>
            </w:r>
          </w:p>
          <w:p>
            <w:pPr>
              <w:spacing w:line="360" w:lineRule="auto"/>
            </w:pPr>
            <w:r>
              <w:rPr>
                <w:rFonts w:hint="eastAsia"/>
              </w:rPr>
              <w:t>hom</w:t>
            </w:r>
            <w:r>
              <w:t>ework4</w:t>
            </w:r>
            <w:r>
              <w:rPr>
                <w:rFonts w:hint="eastAsia"/>
              </w:rPr>
              <w:t>，存放作业4全部的文件（包括W</w:t>
            </w:r>
            <w:r>
              <w:t>ORD</w:t>
            </w:r>
            <w:r>
              <w:rPr>
                <w:rFonts w:hint="eastAsia"/>
              </w:rPr>
              <w:t>、图片、视频等等）</w:t>
            </w:r>
          </w:p>
          <w:p>
            <w:pPr>
              <w:spacing w:line="360" w:lineRule="auto"/>
            </w:pPr>
            <w:r>
              <w:rPr>
                <w:rFonts w:hint="eastAsia"/>
              </w:rPr>
              <w:t>hom</w:t>
            </w:r>
            <w:r>
              <w:t>ework5</w:t>
            </w:r>
            <w:r>
              <w:rPr>
                <w:rFonts w:hint="eastAsia"/>
              </w:rPr>
              <w:t>，存放作业5全部的文件（包括W</w:t>
            </w:r>
            <w:r>
              <w:t>ORD</w:t>
            </w:r>
            <w:r>
              <w:rPr>
                <w:rFonts w:hint="eastAsia"/>
              </w:rPr>
              <w:t>、图片、视频等等）</w:t>
            </w:r>
          </w:p>
          <w:p>
            <w:pPr>
              <w:spacing w:line="360" w:lineRule="auto"/>
            </w:pPr>
            <w:r>
              <w:rPr>
                <w:rFonts w:hint="eastAsia"/>
              </w:rPr>
              <w:t>hom</w:t>
            </w:r>
            <w:r>
              <w:t>ework2023</w:t>
            </w:r>
            <w:r>
              <w:rPr>
                <w:rFonts w:hint="eastAsia"/>
              </w:rPr>
              <w:t>，存放完成作业的情景照片或视频</w:t>
            </w:r>
          </w:p>
        </w:tc>
      </w:tr>
    </w:tbl>
    <w:p>
      <w:pPr>
        <w:spacing w:line="360" w:lineRule="auto"/>
      </w:pPr>
    </w:p>
    <w:p>
      <w:pPr>
        <w:spacing w:line="360" w:lineRule="auto"/>
        <w:rPr>
          <w:color w:val="FF0000"/>
        </w:rPr>
      </w:pPr>
      <w:r>
        <w:rPr>
          <w:rFonts w:hint="eastAsia"/>
          <w:color w:val="FF0000"/>
        </w:rPr>
        <w:t>注意，可以将你查阅资料的电脑屏幕（截图、录屏）记录下来，将你做作业时的情景拍照、录像记录下来。将其存放在“</w:t>
      </w:r>
      <w:r>
        <w:rPr>
          <w:color w:val="FF0000"/>
        </w:rPr>
        <w:t>homework2023</w:t>
      </w:r>
      <w:r>
        <w:rPr>
          <w:rFonts w:hint="eastAsia"/>
          <w:color w:val="FF0000"/>
        </w:rPr>
        <w:t>”文件夹中，这个操作，会对总成绩有加分。</w:t>
      </w:r>
    </w:p>
    <w:p>
      <w:pPr>
        <w:spacing w:line="360" w:lineRule="auto"/>
        <w:rPr>
          <w:color w:val="FF0000"/>
        </w:rPr>
      </w:pPr>
      <w:r>
        <w:rPr>
          <w:rFonts w:hint="eastAsia"/>
          <w:color w:val="FF0000"/>
        </w:rPr>
        <w:t>拍照时，请同学帮忙，除了正脸（保护你的隐私），每个角度都来一张，多多益善。总之，体现你做事认真、挥汗如雨、思考深邃的外在表现、修养内涵。</w:t>
      </w:r>
    </w:p>
    <w:p>
      <w:pPr>
        <w:widowControl/>
        <w:jc w:val="left"/>
        <w:rPr>
          <w:color w:val="FF0000"/>
        </w:rPr>
      </w:pPr>
      <w:r>
        <w:rPr>
          <w:color w:val="FF0000"/>
        </w:rPr>
        <w:br w:type="page"/>
      </w:r>
    </w:p>
    <w:p>
      <w:pPr>
        <w:spacing w:line="360" w:lineRule="auto"/>
      </w:pPr>
      <w:r>
        <w:t>2023春季大学生信息素养课程作业</w:t>
      </w:r>
    </w:p>
    <w:p>
      <w:pPr>
        <w:spacing w:line="360" w:lineRule="auto"/>
      </w:pPr>
      <w:r>
        <w:rPr>
          <w:rFonts w:hint="eastAsia"/>
        </w:rPr>
        <w:t>集中式布置</w:t>
      </w:r>
    </w:p>
    <w:p>
      <w:pPr>
        <w:spacing w:line="360" w:lineRule="auto"/>
      </w:pPr>
      <w:r>
        <w:t>2023年5月15日之前完成。</w:t>
      </w:r>
    </w:p>
    <w:p>
      <w:pPr>
        <w:spacing w:line="360" w:lineRule="auto"/>
      </w:pPr>
      <w:r>
        <w:t>2023年5月15-21日评阅。</w:t>
      </w:r>
    </w:p>
    <w:p>
      <w:pPr>
        <w:spacing w:line="360" w:lineRule="auto"/>
      </w:pPr>
      <w:r>
        <w:rPr>
          <w:rFonts w:hint="eastAsia"/>
        </w:rPr>
        <w:t>必做</w:t>
      </w:r>
      <w:r>
        <w:t>5题，增选1题。</w:t>
      </w:r>
    </w:p>
    <w:p>
      <w:pPr>
        <w:spacing w:line="360" w:lineRule="auto"/>
        <w:rPr>
          <w:rFonts w:hint="eastAsia"/>
        </w:rPr>
      </w:pPr>
    </w:p>
    <w:p>
      <w:pPr>
        <w:spacing w:line="360" w:lineRule="auto"/>
      </w:pPr>
      <w:r>
        <w:rPr>
          <w:rFonts w:hint="eastAsia"/>
        </w:rPr>
        <w:t>大学生信息素养作业答题</w:t>
      </w:r>
    </w:p>
    <w:p>
      <w:pPr>
        <w:spacing w:line="360" w:lineRule="auto"/>
        <w:rPr>
          <w:rFonts w:hint="default" w:eastAsia="宋体"/>
          <w:lang w:val="en-US" w:eastAsia="zh-CN"/>
        </w:rPr>
      </w:pPr>
      <w:r>
        <w:rPr>
          <w:rFonts w:hint="eastAsia"/>
        </w:rPr>
        <w:t>【1】</w:t>
      </w:r>
      <w:r>
        <w:rPr>
          <w:rFonts w:hint="eastAsia"/>
          <w:lang w:val="en-US" w:eastAsia="zh-CN"/>
        </w:rPr>
        <w:t>作业视频</w:t>
      </w:r>
      <w:r>
        <w:rPr>
          <w:rFonts w:hint="eastAsia"/>
        </w:rPr>
        <w:t>截图</w:t>
      </w:r>
    </w:p>
    <w:p>
      <w:pPr>
        <w:spacing w:line="360" w:lineRule="auto"/>
      </w:pPr>
      <w:r>
        <w:drawing>
          <wp:inline distT="0" distB="0" distL="114300" distR="114300">
            <wp:extent cx="6108065" cy="3278505"/>
            <wp:effectExtent l="0" t="0" r="317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6108065" cy="3278505"/>
                    </a:xfrm>
                    <a:prstGeom prst="rect">
                      <a:avLst/>
                    </a:prstGeom>
                    <a:noFill/>
                    <a:ln>
                      <a:noFill/>
                    </a:ln>
                  </pic:spPr>
                </pic:pic>
              </a:graphicData>
            </a:graphic>
          </wp:inline>
        </w:drawing>
      </w:r>
    </w:p>
    <w:p>
      <w:r>
        <w:br w:type="page"/>
      </w:r>
    </w:p>
    <w:p>
      <w:pPr>
        <w:spacing w:line="360" w:lineRule="auto"/>
      </w:pPr>
      <w:r>
        <w:rPr>
          <w:rFonts w:hint="eastAsia"/>
        </w:rPr>
        <w:t>【2】直接在这里回答：</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32"/>
          <w:szCs w:val="32"/>
        </w:rPr>
      </w:pPr>
      <w:r>
        <w:rPr>
          <w:rFonts w:hint="eastAsia" w:ascii="宋体" w:hAnsi="宋体" w:eastAsia="宋体" w:cs="宋体"/>
          <w:b/>
          <w:bCs/>
          <w:sz w:val="32"/>
          <w:szCs w:val="32"/>
        </w:rPr>
        <w:t>推动逻辑学发展的十位重要学者及其贡献简介</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一、格奥尔格·威廉·弗里德里希·黑格尔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58240" behindDoc="0" locked="0" layoutInCell="1" allowOverlap="1">
            <wp:simplePos x="0" y="0"/>
            <wp:positionH relativeFrom="column">
              <wp:posOffset>3491230</wp:posOffset>
            </wp:positionH>
            <wp:positionV relativeFrom="paragraph">
              <wp:posOffset>245745</wp:posOffset>
            </wp:positionV>
            <wp:extent cx="1927860" cy="1435100"/>
            <wp:effectExtent l="0" t="0" r="7620" b="1270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1927860" cy="1435100"/>
                    </a:xfrm>
                    <a:prstGeom prst="rect">
                      <a:avLst/>
                    </a:prstGeom>
                    <a:noFill/>
                    <a:ln>
                      <a:noFill/>
                    </a:ln>
                  </pic:spPr>
                </pic:pic>
              </a:graphicData>
            </a:graphic>
          </wp:anchor>
        </w:drawing>
      </w:r>
      <w:r>
        <w:rPr>
          <w:rFonts w:hint="eastAsia" w:ascii="宋体" w:hAnsi="宋体" w:eastAsia="宋体" w:cs="宋体"/>
          <w:sz w:val="24"/>
          <w:szCs w:val="24"/>
        </w:rPr>
        <w:t>黑格尔的逻辑学是本体论、认识论和价值论三者同一的体系。在逻辑学中，本体论和认识论是紧密不可分地结合在同一个概念推演过程中的，它们都指向同一个目的，即从根本上解释世界，找出现实世界之必然存在和发展的合理性的根据，说明世界的本质知识，论证现实性和合理性的统一，并为理性地探求确立一个终极意义上的价值取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逻辑学是黑格尔哲学的灵魂和核心，是其哲学观点及其思维方式和体系框架的基本规定。概念论又是逻辑学的灵魂和核心，是逻辑学的旨趣和根本观点的明白确立，亦是逻辑学的思维方式和整个黑格尔哲学的体系框架的具体规定。黑格尔在逻辑学方面的主要思想，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1.批判了形式逻辑。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2.研究了辩证思维。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3.构造了辩证逻辑的体系。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二、戈特弗里德·威廉·莱布尼茨莱布尼茨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59264" behindDoc="1" locked="0" layoutInCell="1" allowOverlap="1">
            <wp:simplePos x="0" y="0"/>
            <wp:positionH relativeFrom="column">
              <wp:posOffset>3847465</wp:posOffset>
            </wp:positionH>
            <wp:positionV relativeFrom="paragraph">
              <wp:posOffset>31115</wp:posOffset>
            </wp:positionV>
            <wp:extent cx="1600835" cy="1782445"/>
            <wp:effectExtent l="0" t="0" r="14605" b="635"/>
            <wp:wrapTight wrapText="bothSides">
              <wp:wrapPolygon>
                <wp:start x="0" y="0"/>
                <wp:lineTo x="0" y="21423"/>
                <wp:lineTo x="21386" y="21423"/>
                <wp:lineTo x="2138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600835" cy="1782445"/>
                    </a:xfrm>
                    <a:prstGeom prst="rect">
                      <a:avLst/>
                    </a:prstGeom>
                    <a:noFill/>
                    <a:ln>
                      <a:noFill/>
                    </a:ln>
                  </pic:spPr>
                </pic:pic>
              </a:graphicData>
            </a:graphic>
          </wp:anchor>
        </w:drawing>
      </w:r>
      <w:r>
        <w:rPr>
          <w:rFonts w:hint="eastAsia" w:ascii="宋体" w:hAnsi="宋体" w:eastAsia="宋体" w:cs="宋体"/>
          <w:sz w:val="24"/>
          <w:szCs w:val="24"/>
        </w:rPr>
        <w:t>他是数理逻辑的创始人，他明确提出数理逻辑的指导思想：①希望建立一种“普遍的符号语言”，这种语言的符号应是表意的而不是拼音的，每一符号表达一个概念，如同数学的符号一样；②一个完善的符号语言同时应该是一个“思维的演算”。他认为，演算就是用符号作运算，在数量方面、在思维方面都起作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莱布尼茨在逻辑学方面的主要贡献，即：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1.成功地将命题形式表达为符号公式。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2.构成了一种关于两个概念相结合的演算。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3.提出了等词的定义，即一物能为另一物所替代而保持原来命题的真实性，那么它们就是同一的。这个原理叫做不可分辨的东西的同一原理。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4.第一次确定了三值逻辑的表，其中用0表示不可能，用1/2表示偶然，用1表示必然。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三、乔治·布尔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60288" behindDoc="1" locked="0" layoutInCell="1" allowOverlap="1">
            <wp:simplePos x="0" y="0"/>
            <wp:positionH relativeFrom="column">
              <wp:posOffset>3973195</wp:posOffset>
            </wp:positionH>
            <wp:positionV relativeFrom="paragraph">
              <wp:posOffset>95250</wp:posOffset>
            </wp:positionV>
            <wp:extent cx="1558925" cy="1901825"/>
            <wp:effectExtent l="0" t="0" r="10795" b="3175"/>
            <wp:wrapTight wrapText="bothSides">
              <wp:wrapPolygon>
                <wp:start x="0" y="0"/>
                <wp:lineTo x="0" y="21463"/>
                <wp:lineTo x="21327" y="21463"/>
                <wp:lineTo x="2132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1558925" cy="1901825"/>
                    </a:xfrm>
                    <a:prstGeom prst="rect">
                      <a:avLst/>
                    </a:prstGeom>
                    <a:noFill/>
                    <a:ln>
                      <a:noFill/>
                    </a:ln>
                  </pic:spPr>
                </pic:pic>
              </a:graphicData>
            </a:graphic>
          </wp:anchor>
        </w:drawing>
      </w:r>
      <w:r>
        <w:rPr>
          <w:rFonts w:hint="eastAsia" w:ascii="宋体" w:hAnsi="宋体" w:eastAsia="宋体" w:cs="宋体"/>
          <w:sz w:val="24"/>
          <w:szCs w:val="24"/>
        </w:rPr>
        <w:t>他的研究大致可分为逻辑和数学两部分。他在数学上的成就是多方面的，但在逻辑方面，他的主要贡献就是用一套符号来进行逻辑演算，即逻辑的数学化。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大约200年以前，戈特弗里德·威廉·莱布尼茨曾经探索过这一问题，但最终没有找到精确有效的表示方法，因为它牵涉到改进亚里士多德的工作，而人们对于改进亚里士多德的工作的尝试总有点犹豫不决。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布尔凭着他卓越的才干，创造了逻辑代数系统，从而基本上完成了逻辑的演算工作。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乔治·布尔在逻辑学方面的主要贡献，即：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1.出版了《逻辑的数学分析》，这是它对符号逻辑诸多贡献中的第一次。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2.创造了逻辑代数系统，从而基本上完成了逻辑的演算工作。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3.使逻辑学从传统走向现代。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bCs/>
          <w:sz w:val="28"/>
          <w:szCs w:val="28"/>
        </w:rPr>
      </w:pPr>
      <w:r>
        <w:drawing>
          <wp:anchor distT="0" distB="0" distL="114300" distR="114300" simplePos="0" relativeHeight="251661312" behindDoc="1" locked="0" layoutInCell="1" allowOverlap="1">
            <wp:simplePos x="0" y="0"/>
            <wp:positionH relativeFrom="column">
              <wp:posOffset>4052570</wp:posOffset>
            </wp:positionH>
            <wp:positionV relativeFrom="paragraph">
              <wp:posOffset>182245</wp:posOffset>
            </wp:positionV>
            <wp:extent cx="1487170" cy="1692910"/>
            <wp:effectExtent l="0" t="0" r="6350" b="13970"/>
            <wp:wrapTight wrapText="bothSides">
              <wp:wrapPolygon>
                <wp:start x="0" y="0"/>
                <wp:lineTo x="0" y="21389"/>
                <wp:lineTo x="21471" y="21389"/>
                <wp:lineTo x="2147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1487170" cy="1692910"/>
                    </a:xfrm>
                    <a:prstGeom prst="rect">
                      <a:avLst/>
                    </a:prstGeom>
                    <a:noFill/>
                    <a:ln>
                      <a:noFill/>
                    </a:ln>
                  </pic:spPr>
                </pic:pic>
              </a:graphicData>
            </a:graphic>
          </wp:anchor>
        </w:drawing>
      </w:r>
      <w:r>
        <w:rPr>
          <w:rFonts w:hint="eastAsia" w:ascii="宋体" w:hAnsi="宋体" w:eastAsia="宋体" w:cs="宋体"/>
          <w:b/>
          <w:bCs/>
          <w:sz w:val="28"/>
          <w:szCs w:val="28"/>
        </w:rPr>
        <w:t>四、库尔特·哥德尔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在20世纪初，库尔特·哥德尔证明了形式数论（ 即算术逻辑 ）系统的“不完全性定理”，即使把初等数论形式化之后，在这个形式的演绎系统中也总可以找出一个合理的命题来，在该系统中既无法证明它为真，也无法证明它为假。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库尔特·哥德尔在逻辑学方面的主要贡献，即：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1931年</w:t>
      </w:r>
      <w:r>
        <w:rPr>
          <w:rFonts w:hint="eastAsia" w:ascii="宋体" w:hAnsi="宋体" w:eastAsia="宋体" w:cs="宋体"/>
          <w:sz w:val="24"/>
          <w:szCs w:val="24"/>
          <w:lang w:val="en-US" w:eastAsia="zh-CN"/>
        </w:rPr>
        <w:t>发表</w:t>
      </w:r>
      <w:r>
        <w:rPr>
          <w:rFonts w:hint="eastAsia" w:ascii="宋体" w:hAnsi="宋体" w:eastAsia="宋体" w:cs="宋体"/>
          <w:sz w:val="24"/>
          <w:szCs w:val="24"/>
        </w:rPr>
        <w:t>论文《〈数学原理〉（ 指怀德海和罗素所著的书 ）及有关系统中的形式不可判定命题》是20世纪在逻辑学和数学基础方面最重要的文献之一。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五、伯特兰·罗素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62336" behindDoc="1" locked="0" layoutInCell="1" allowOverlap="1">
            <wp:simplePos x="0" y="0"/>
            <wp:positionH relativeFrom="column">
              <wp:posOffset>4229100</wp:posOffset>
            </wp:positionH>
            <wp:positionV relativeFrom="paragraph">
              <wp:posOffset>24130</wp:posOffset>
            </wp:positionV>
            <wp:extent cx="1341120" cy="1774190"/>
            <wp:effectExtent l="0" t="0" r="0" b="8890"/>
            <wp:wrapTight wrapText="bothSides">
              <wp:wrapPolygon>
                <wp:start x="0" y="0"/>
                <wp:lineTo x="0" y="21337"/>
                <wp:lineTo x="21355" y="21337"/>
                <wp:lineTo x="21355"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341120" cy="1774190"/>
                    </a:xfrm>
                    <a:prstGeom prst="rect">
                      <a:avLst/>
                    </a:prstGeom>
                    <a:noFill/>
                    <a:ln>
                      <a:noFill/>
                    </a:ln>
                  </pic:spPr>
                </pic:pic>
              </a:graphicData>
            </a:graphic>
          </wp:anchor>
        </w:drawing>
      </w:r>
      <w:r>
        <w:rPr>
          <w:rFonts w:hint="eastAsia" w:ascii="宋体" w:hAnsi="宋体" w:eastAsia="宋体" w:cs="宋体"/>
          <w:sz w:val="24"/>
          <w:szCs w:val="24"/>
        </w:rPr>
        <w:t>在现代西方哲学界、逻辑学界以及社会政治领域内，伯特兰·罗素都享有崇高声誉。在学术领域，伯特兰·罗素不仅是风靡20世纪的分析哲学的主要创始人，而且是对数学逻辑发展作出过重要贡献的逻辑学家。作为一位逻辑学家，伯特兰·罗素甚至被看作是亚里士多德以来最伟大的逻辑学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伯特兰·罗素在逻辑学方面的主要贡献，即：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1.在数学逻辑方面的贡献是举世公认的，伯特兰·罗素和怀特海合作的《数学原理》一书已被公认为现代数理逻辑这门科学的奠基石。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2.提出的“罗素悖论”刺激和推动了20世纪逻辑学的发展，他的类型理论为解决这个悖论做出了重大贡献。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3.主张的逻辑主义—即认为可以用逻辑概念来定义数学的核心概念也对数学发展产生了一定的影响。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bCs/>
          <w:sz w:val="28"/>
          <w:szCs w:val="28"/>
        </w:rPr>
      </w:pPr>
      <w:r>
        <w:drawing>
          <wp:anchor distT="0" distB="0" distL="114300" distR="114300" simplePos="0" relativeHeight="251663360" behindDoc="1" locked="0" layoutInCell="1" allowOverlap="1">
            <wp:simplePos x="0" y="0"/>
            <wp:positionH relativeFrom="column">
              <wp:posOffset>3877945</wp:posOffset>
            </wp:positionH>
            <wp:positionV relativeFrom="paragraph">
              <wp:posOffset>225425</wp:posOffset>
            </wp:positionV>
            <wp:extent cx="1585595" cy="1923415"/>
            <wp:effectExtent l="0" t="0" r="14605" b="12065"/>
            <wp:wrapTight wrapText="bothSides">
              <wp:wrapPolygon>
                <wp:start x="0" y="0"/>
                <wp:lineTo x="0" y="21393"/>
                <wp:lineTo x="21384" y="21393"/>
                <wp:lineTo x="2138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585595" cy="1923415"/>
                    </a:xfrm>
                    <a:prstGeom prst="rect">
                      <a:avLst/>
                    </a:prstGeom>
                    <a:noFill/>
                    <a:ln>
                      <a:noFill/>
                    </a:ln>
                  </pic:spPr>
                </pic:pic>
              </a:graphicData>
            </a:graphic>
          </wp:anchor>
        </w:drawing>
      </w:r>
      <w:r>
        <w:rPr>
          <w:rFonts w:hint="eastAsia" w:ascii="宋体" w:hAnsi="宋体" w:eastAsia="宋体" w:cs="宋体"/>
          <w:b/>
          <w:bCs/>
          <w:sz w:val="28"/>
          <w:szCs w:val="28"/>
        </w:rPr>
        <w:t>六、索尔·阿伦·克里普克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克里普克是美国的逻辑学家，哲学家，曾任教于哈佛、哥伦比亚、康奈尔和洛克菲勒等大学，1977年任普林斯顿大学哲学教授，后升任麦科什讲座哲学教授。克里普克是模态逻辑语义学的创始人和因果—历史指称论的首倡者之一，认为名词的指称主要取决于与使用该名词有关的社会历史的传递链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克里普克在逻辑学方面的主要贡献，即：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1.严格区分了“先验的”和“必然的”这两个概念。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2.在区分先验真理和必然真理基础上，提出了“先验偶然命题”和“后验必然命题”的新概念。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3.在模态逻辑语义学的基础上，提出了因果的、历史的指称理论，为该理论的首创人之一。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七、卡尔·波普尔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卡尔·波普尔生于奥地利维也纳的一个犹太裔中产阶级家庭，毕业于维也纳</w:t>
      </w:r>
      <w:r>
        <w:drawing>
          <wp:anchor distT="0" distB="0" distL="114300" distR="114300" simplePos="0" relativeHeight="251664384" behindDoc="1" locked="0" layoutInCell="1" allowOverlap="1">
            <wp:simplePos x="0" y="0"/>
            <wp:positionH relativeFrom="column">
              <wp:posOffset>3444240</wp:posOffset>
            </wp:positionH>
            <wp:positionV relativeFrom="paragraph">
              <wp:posOffset>144780</wp:posOffset>
            </wp:positionV>
            <wp:extent cx="2225040" cy="1402080"/>
            <wp:effectExtent l="0" t="0" r="0" b="0"/>
            <wp:wrapTight wrapText="bothSides">
              <wp:wrapPolygon>
                <wp:start x="0" y="0"/>
                <wp:lineTo x="0" y="21365"/>
                <wp:lineTo x="21452" y="21365"/>
                <wp:lineTo x="2145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225040" cy="1402080"/>
                    </a:xfrm>
                    <a:prstGeom prst="rect">
                      <a:avLst/>
                    </a:prstGeom>
                    <a:noFill/>
                    <a:ln>
                      <a:noFill/>
                    </a:ln>
                  </pic:spPr>
                </pic:pic>
              </a:graphicData>
            </a:graphic>
          </wp:anchor>
        </w:drawing>
      </w:r>
      <w:r>
        <w:rPr>
          <w:rFonts w:hint="eastAsia" w:ascii="宋体" w:hAnsi="宋体" w:eastAsia="宋体" w:cs="宋体"/>
          <w:sz w:val="24"/>
          <w:szCs w:val="24"/>
        </w:rPr>
        <w:t>大学。1928年，他获授哲学博士学位，1930年至1936年间在中学任教。1937年，纳粹主义势力抬头，波普尔移民至新西兰。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他在新西兰克赖斯特彻奇市（ 即基督堂市 ）的坎特伯雷大学任哲学讲师。1946年迁居英国，在伦敦经济学院讲解逻辑和科学方法论。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卡尔·波普尔在逻辑学方面的主要贡献，即：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1.波普尔的哲学体系，重点在于批判的理性主义，这与经典的经验主义及其观测—归纳法泾渭分明。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2.波普尔高度评价了休谟对归纳法的批判，虽然他对休谟和归纳逻辑主义的批判是牵强的，但对基础论的批判是相当有力的。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八、奥古斯特·孔德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65408" behindDoc="1" locked="0" layoutInCell="1" allowOverlap="1">
            <wp:simplePos x="0" y="0"/>
            <wp:positionH relativeFrom="column">
              <wp:posOffset>4100830</wp:posOffset>
            </wp:positionH>
            <wp:positionV relativeFrom="paragraph">
              <wp:posOffset>211455</wp:posOffset>
            </wp:positionV>
            <wp:extent cx="1598930" cy="1953260"/>
            <wp:effectExtent l="0" t="0" r="1270" b="12700"/>
            <wp:wrapTight wrapText="bothSides">
              <wp:wrapPolygon>
                <wp:start x="0" y="0"/>
                <wp:lineTo x="0" y="21403"/>
                <wp:lineTo x="21411" y="21403"/>
                <wp:lineTo x="21411"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1598930" cy="1953260"/>
                    </a:xfrm>
                    <a:prstGeom prst="rect">
                      <a:avLst/>
                    </a:prstGeom>
                    <a:noFill/>
                    <a:ln>
                      <a:noFill/>
                    </a:ln>
                  </pic:spPr>
                </pic:pic>
              </a:graphicData>
            </a:graphic>
          </wp:anchor>
        </w:drawing>
      </w:r>
      <w:r>
        <w:rPr>
          <w:rFonts w:hint="eastAsia" w:ascii="宋体" w:hAnsi="宋体" w:eastAsia="宋体" w:cs="宋体"/>
          <w:sz w:val="24"/>
          <w:szCs w:val="24"/>
        </w:rPr>
        <w:t>奥古斯特·孔德是法国著名的哲学家、社会学和实证主义的创始人。孔德开创了社会学这一学科，被尊称为“社会学之父”。他创立的实证主义学说是西方哲学由近代转入现代的重要标志之一。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同时，实证主义是孔德确立的关于实证科学的哲学体系，被认为与神学、形而上学互不包容。他在实证主义的基础上提出了著名的“三阶段法则”，他认为，在某种意义上，实证主义即是实证科学，而实证阶段是人类智慧发展的最高阶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他对实证科学按简单到复杂的标准进行了分类，找出了各实证科学之间存在的“渐进的相关性”。孔德指出，实证精神集中体现了实证主义的内涵，观察和合理的预测是实证精神的主要特性。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奥古斯特·孔德在逻辑学方面的主要贡献，即：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1.把社会学概括为一门研究人类社会的学科，并在他所处的历史条件下，规定了社会学的地位、研究对象和研究方法，建立了他的社会学理论体系。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2.借用了圣西门“实证”一词，并认为19世纪的人类已经进入了“科学的实证阶段”，在这个时期里，经验认识可以用于理解社会现象。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3.把实证主义应用于社会学，试图建立一个无所不包的实证知识体系用以解释所有的社会现象。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宋体" w:hAnsi="宋体" w:eastAsia="宋体" w:cs="宋体"/>
          <w:b/>
          <w:bCs/>
          <w:sz w:val="28"/>
          <w:szCs w:val="28"/>
        </w:rPr>
      </w:pPr>
      <w:r>
        <w:rPr>
          <w:rFonts w:hint="eastAsia" w:ascii="宋体" w:hAnsi="宋体" w:eastAsia="宋体" w:cs="宋体"/>
          <w:b/>
          <w:bCs/>
          <w:sz w:val="28"/>
          <w:szCs w:val="28"/>
        </w:rPr>
        <w:t>九、J.S.密尔</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drawing>
          <wp:anchor distT="0" distB="0" distL="114300" distR="114300" simplePos="0" relativeHeight="251666432" behindDoc="1" locked="0" layoutInCell="1" allowOverlap="1">
            <wp:simplePos x="0" y="0"/>
            <wp:positionH relativeFrom="column">
              <wp:posOffset>3822700</wp:posOffset>
            </wp:positionH>
            <wp:positionV relativeFrom="paragraph">
              <wp:posOffset>83820</wp:posOffset>
            </wp:positionV>
            <wp:extent cx="1736725" cy="1894205"/>
            <wp:effectExtent l="0" t="0" r="635" b="10795"/>
            <wp:wrapTight wrapText="bothSides">
              <wp:wrapPolygon>
                <wp:start x="0" y="0"/>
                <wp:lineTo x="0" y="21376"/>
                <wp:lineTo x="21418" y="21376"/>
                <wp:lineTo x="21418"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1736725" cy="1894205"/>
                    </a:xfrm>
                    <a:prstGeom prst="rect">
                      <a:avLst/>
                    </a:prstGeom>
                    <a:noFill/>
                    <a:ln>
                      <a:noFill/>
                    </a:ln>
                  </pic:spPr>
                </pic:pic>
              </a:graphicData>
            </a:graphic>
          </wp:anchor>
        </w:drawing>
      </w:r>
      <w:r>
        <w:rPr>
          <w:rFonts w:hint="eastAsia" w:ascii="宋体" w:hAnsi="宋体" w:eastAsia="宋体" w:cs="宋体"/>
          <w:sz w:val="24"/>
          <w:szCs w:val="24"/>
        </w:rPr>
        <w:t>J.S.密尔，19世纪英国著名哲学家、经济学家、逻辑学家、政治理论家。在密尔青年期的晚期，在古典哲学的雄厚背景下，学习了政治经济学与法学，并且开始在报刊文献上发表文章，其中最主要的场域是在哲学激进派的喉舌《西敏寺评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同时，密尔组织学社与年纪长他不少的人进行学术思辨，并且以读书会的形式增加自己在政治经济学、逻辑学与心理学的知识。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J.S.密尔在逻辑学方面的主要贡献，即：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1.创作了《逻辑体系》。</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2.他是归纳主义逻辑学家，丰富了归纳法，提高了归纳法在逻辑中的地位。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rPr>
      </w:pPr>
      <w:r>
        <w:rPr>
          <w:rFonts w:hint="eastAsia" w:ascii="宋体" w:hAnsi="宋体" w:eastAsia="宋体" w:cs="宋体"/>
          <w:b/>
          <w:bCs/>
          <w:sz w:val="24"/>
          <w:szCs w:val="24"/>
        </w:rPr>
        <w:t>十</w:t>
      </w:r>
      <w:bookmarkStart w:id="0" w:name="_GoBack"/>
      <w:bookmarkEnd w:id="0"/>
      <w:r>
        <w:rPr>
          <w:rFonts w:hint="eastAsia" w:ascii="宋体" w:hAnsi="宋体" w:eastAsia="宋体" w:cs="宋体"/>
          <w:b/>
          <w:bCs/>
          <w:sz w:val="24"/>
          <w:szCs w:val="24"/>
        </w:rPr>
        <w:t>、威廉姆·斯坦利·杰文斯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drawing>
          <wp:anchor distT="0" distB="0" distL="114300" distR="114300" simplePos="0" relativeHeight="251667456" behindDoc="1" locked="0" layoutInCell="1" allowOverlap="1">
            <wp:simplePos x="0" y="0"/>
            <wp:positionH relativeFrom="column">
              <wp:posOffset>4121150</wp:posOffset>
            </wp:positionH>
            <wp:positionV relativeFrom="paragraph">
              <wp:posOffset>76835</wp:posOffset>
            </wp:positionV>
            <wp:extent cx="1418590" cy="1973580"/>
            <wp:effectExtent l="0" t="0" r="13970" b="7620"/>
            <wp:wrapTight wrapText="bothSides">
              <wp:wrapPolygon>
                <wp:start x="0" y="0"/>
                <wp:lineTo x="0" y="21517"/>
                <wp:lineTo x="21349" y="21517"/>
                <wp:lineTo x="21349"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1418590" cy="1973580"/>
                    </a:xfrm>
                    <a:prstGeom prst="rect">
                      <a:avLst/>
                    </a:prstGeom>
                    <a:noFill/>
                    <a:ln>
                      <a:noFill/>
                    </a:ln>
                  </pic:spPr>
                </pic:pic>
              </a:graphicData>
            </a:graphic>
          </wp:anchor>
        </w:drawing>
      </w:r>
      <w:r>
        <w:rPr>
          <w:rFonts w:hint="eastAsia" w:ascii="宋体" w:hAnsi="宋体" w:eastAsia="宋体" w:cs="宋体"/>
          <w:b w:val="0"/>
          <w:bCs w:val="0"/>
          <w:sz w:val="24"/>
          <w:szCs w:val="24"/>
        </w:rPr>
        <w:t>威廉姆·斯坦利·杰文斯生于利物浦，英国著名的经济学家和逻辑学家。威廉姆·斯坦利·杰文斯在逻辑学上有很大的成就，1864年他出版了一本小书，名字是《纯逻辑，或数与量之间的逻辑》，其基础是乔治·布尔的逻辑体系，但摒除了他认为错误的数学外衣。随后几年，威廉姆·斯坦利·杰文斯致力于研究逻辑机器，正是这个研究，他知道给定逻辑前提，可以用机械模拟出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1866年他发现了伟大且普遍的推理法则，并于1869年以《同类替代》（ The Substitution of Similars ）为题描述了这个学说，最简单的格式是：“同类必有同质”（ Whatever is true of a thing is trueof its like.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另外，他还有其他的各样表达。之后，威廉姆·斯坦利·杰文斯又发表了《逻辑学初级教程》并很快成为英语世界里最为流行的逻辑学基础教科书。这本书里他对早期的纯逻辑和同类替代作了具体的表述，还发展了归纳是演绎的简单反转的观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他还撰写了很多逻辑学论文，1874年以《科学原理》为题发表。另外，威廉姆·斯坦利·杰文斯还对概率的一般原理和概率与归纳之间的关系作了出色的改造。他在各种自然科学上的造诣此时发挥了巨大作用，使他可以利用图形来处理抽象的逻辑学概念，从而获得了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而威廉姆·斯坦利·杰文斯的归纳准则是对威廉·惠威尔理论的回归，恰是此理论受到了穆勒的批评。当然，杰文斯用了新的表达，摒弃了受人批评的一些不必要的附属条件。这份努力可以算是19世纪英国最可大书一笔的逻辑学贡献之一。1880年，他出版了《演绎逻辑研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威廉姆·斯坦利·杰文斯在逻辑学方面的主要贡献，即：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1.《纯逻辑，或数与量之间的逻辑》《逻辑学初级教程》《演绎逻辑研究》。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2.发现了伟大且普遍的推理法则。</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b w:val="0"/>
          <w:bCs w:val="0"/>
          <w:sz w:val="24"/>
          <w:szCs w:val="24"/>
        </w:rPr>
      </w:pPr>
      <w:r>
        <w:rPr>
          <w:rFonts w:hint="eastAsia" w:ascii="宋体" w:hAnsi="宋体" w:eastAsia="宋体" w:cs="宋体"/>
          <w:b w:val="0"/>
          <w:bCs w:val="0"/>
          <w:sz w:val="24"/>
          <w:szCs w:val="24"/>
        </w:rPr>
        <w:t>3.认为归纳是演绎的简单反转的观点，并对概率的一般原理，以及概率与归纳之间的关系做出论证。</w:t>
      </w:r>
    </w:p>
    <w:p>
      <w:r>
        <w:br w:type="page"/>
      </w:r>
    </w:p>
    <w:p>
      <w:pPr>
        <w:spacing w:line="360" w:lineRule="auto"/>
      </w:pPr>
      <w:r>
        <w:rPr>
          <w:rFonts w:hint="eastAsia"/>
        </w:rPr>
        <w:t>【3】</w:t>
      </w:r>
      <w:r>
        <w:rPr>
          <w:rFonts w:hint="eastAsia"/>
          <w:lang w:val="en-US" w:eastAsia="zh-CN"/>
        </w:rPr>
        <w:t>作业</w:t>
      </w:r>
      <w:r>
        <w:rPr>
          <w:rFonts w:hint="eastAsia"/>
        </w:rPr>
        <w:t>截图</w:t>
      </w:r>
    </w:p>
    <w:p>
      <w:pPr>
        <w:spacing w:line="360" w:lineRule="auto"/>
      </w:pPr>
      <w:r>
        <w:drawing>
          <wp:inline distT="0" distB="0" distL="114300" distR="114300">
            <wp:extent cx="5623560" cy="120396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5623560" cy="1203960"/>
                    </a:xfrm>
                    <a:prstGeom prst="rect">
                      <a:avLst/>
                    </a:prstGeom>
                    <a:noFill/>
                    <a:ln>
                      <a:noFill/>
                    </a:ln>
                  </pic:spPr>
                </pic:pic>
              </a:graphicData>
            </a:graphic>
          </wp:inline>
        </w:drawing>
      </w:r>
    </w:p>
    <w:p>
      <w:r>
        <w:br w:type="page"/>
      </w:r>
    </w:p>
    <w:p>
      <w:pPr>
        <w:spacing w:line="360" w:lineRule="auto"/>
      </w:pPr>
      <w:r>
        <w:rPr>
          <w:rFonts w:hint="eastAsia"/>
        </w:rPr>
        <w:t>【4】</w:t>
      </w:r>
      <w:r>
        <w:rPr>
          <w:rFonts w:hint="eastAsia"/>
          <w:lang w:val="en-US" w:eastAsia="zh-CN"/>
        </w:rPr>
        <w:t>作业视频</w:t>
      </w:r>
      <w:r>
        <w:rPr>
          <w:rFonts w:hint="eastAsia"/>
        </w:rPr>
        <w:t>截图</w:t>
      </w:r>
    </w:p>
    <w:p>
      <w:pPr>
        <w:spacing w:line="360" w:lineRule="auto"/>
      </w:pPr>
      <w:r>
        <w:drawing>
          <wp:inline distT="0" distB="0" distL="114300" distR="114300">
            <wp:extent cx="6108065" cy="3278505"/>
            <wp:effectExtent l="0" t="0" r="3175" b="133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9"/>
                    <a:stretch>
                      <a:fillRect/>
                    </a:stretch>
                  </pic:blipFill>
                  <pic:spPr>
                    <a:xfrm>
                      <a:off x="0" y="0"/>
                      <a:ext cx="6108065" cy="3278505"/>
                    </a:xfrm>
                    <a:prstGeom prst="rect">
                      <a:avLst/>
                    </a:prstGeom>
                    <a:noFill/>
                    <a:ln>
                      <a:noFill/>
                    </a:ln>
                  </pic:spPr>
                </pic:pic>
              </a:graphicData>
            </a:graphic>
          </wp:inline>
        </w:drawing>
      </w:r>
    </w:p>
    <w:p>
      <w:r>
        <w:br w:type="page"/>
      </w:r>
    </w:p>
    <w:p>
      <w:pPr>
        <w:spacing w:line="360" w:lineRule="auto"/>
      </w:pPr>
      <w:r>
        <w:rPr>
          <w:rFonts w:hint="eastAsia"/>
        </w:rPr>
        <w:t>【5】直接在这里回答：</w:t>
      </w:r>
    </w:p>
    <w:p>
      <w:pPr>
        <w:jc w:val="center"/>
        <w:rPr>
          <w:rFonts w:hint="eastAsia"/>
          <w:b/>
          <w:bCs/>
          <w:sz w:val="32"/>
          <w:szCs w:val="40"/>
        </w:rPr>
      </w:pPr>
      <w:r>
        <w:rPr>
          <w:rFonts w:hint="eastAsia"/>
          <w:b/>
          <w:bCs/>
          <w:sz w:val="32"/>
          <w:szCs w:val="40"/>
        </w:rPr>
        <w:t>马太效应在虚拟世界中的表现及其出现的原因</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马太效应是社会学家和经济学家们常用的术语，一种强者愈强、弱者愈弱</w:t>
      </w:r>
      <w:r>
        <w:rPr>
          <w:rFonts w:hint="eastAsia" w:ascii="宋体" w:hAnsi="宋体" w:eastAsia="宋体" w:cs="宋体"/>
          <w:sz w:val="24"/>
          <w:szCs w:val="24"/>
          <w:lang w:eastAsia="zh-CN"/>
        </w:rPr>
        <w:t>、</w:t>
      </w:r>
      <w:r>
        <w:rPr>
          <w:rFonts w:hint="eastAsia" w:ascii="宋体" w:hAnsi="宋体" w:eastAsia="宋体" w:cs="宋体"/>
          <w:sz w:val="24"/>
          <w:szCs w:val="24"/>
        </w:rPr>
        <w:t>两极分化的社会现象，广泛应用于社会心理学、教育、金融以及科学领域。罗伯特·莫顿归纳“马太效应”为：任何个体、群体或地区，在金钱、名誉、地位等</w:t>
      </w:r>
      <w:r>
        <w:rPr>
          <w:rFonts w:hint="eastAsia" w:ascii="宋体" w:hAnsi="宋体" w:eastAsia="宋体" w:cs="宋体"/>
          <w:sz w:val="24"/>
          <w:szCs w:val="24"/>
          <w:lang w:val="en-US" w:eastAsia="zh-CN"/>
        </w:rPr>
        <w:t>方面</w:t>
      </w:r>
      <w:r>
        <w:rPr>
          <w:rFonts w:hint="eastAsia" w:ascii="宋体" w:hAnsi="宋体" w:eastAsia="宋体" w:cs="宋体"/>
          <w:sz w:val="24"/>
          <w:szCs w:val="24"/>
          <w:highlight w:val="none"/>
          <w:lang w:eastAsia="zh-CN"/>
        </w:rPr>
        <w:t>取得</w:t>
      </w:r>
      <w:r>
        <w:rPr>
          <w:rFonts w:hint="eastAsia" w:ascii="宋体" w:hAnsi="宋体" w:eastAsia="宋体" w:cs="宋体"/>
          <w:sz w:val="24"/>
          <w:szCs w:val="24"/>
        </w:rPr>
        <w:t>成功和进步，就会产生一种积累优势，</w:t>
      </w:r>
      <w:r>
        <w:rPr>
          <w:rFonts w:hint="eastAsia" w:ascii="宋体" w:hAnsi="宋体" w:eastAsia="宋体" w:cs="宋体"/>
          <w:sz w:val="24"/>
          <w:szCs w:val="24"/>
          <w:lang w:val="en-US" w:eastAsia="zh-CN"/>
        </w:rPr>
        <w:t>从而</w:t>
      </w:r>
      <w:r>
        <w:rPr>
          <w:rFonts w:hint="eastAsia" w:ascii="宋体" w:hAnsi="宋体" w:eastAsia="宋体" w:cs="宋体"/>
          <w:sz w:val="24"/>
          <w:szCs w:val="24"/>
        </w:rPr>
        <w:t>有更多的机会取得更大的成功和进步。</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虚拟世界中的表现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互联网产品领域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在市场上，真正发展较好的互联网产品其实</w:t>
      </w:r>
      <w:r>
        <w:rPr>
          <w:rFonts w:hint="eastAsia" w:ascii="宋体" w:hAnsi="宋体" w:eastAsia="宋体" w:cs="宋体"/>
          <w:sz w:val="24"/>
          <w:szCs w:val="24"/>
          <w:lang w:val="en-US" w:eastAsia="zh-CN"/>
        </w:rPr>
        <w:t>仅有</w:t>
      </w:r>
      <w:r>
        <w:rPr>
          <w:rFonts w:hint="eastAsia" w:ascii="宋体" w:hAnsi="宋体" w:eastAsia="宋体" w:cs="宋体"/>
          <w:sz w:val="24"/>
          <w:szCs w:val="24"/>
        </w:rPr>
        <w:t>几家，这</w:t>
      </w:r>
      <w:r>
        <w:rPr>
          <w:rFonts w:hint="eastAsia" w:ascii="宋体" w:hAnsi="宋体" w:eastAsia="宋体" w:cs="宋体"/>
          <w:sz w:val="24"/>
          <w:szCs w:val="24"/>
          <w:lang w:val="en-US" w:eastAsia="zh-CN"/>
        </w:rPr>
        <w:t>与</w:t>
      </w:r>
      <w:r>
        <w:rPr>
          <w:rFonts w:hint="eastAsia" w:ascii="宋体" w:hAnsi="宋体" w:eastAsia="宋体" w:cs="宋体"/>
          <w:sz w:val="24"/>
          <w:szCs w:val="24"/>
        </w:rPr>
        <w:t>马太效应有关，</w:t>
      </w:r>
      <w:r>
        <w:rPr>
          <w:rFonts w:hint="eastAsia" w:ascii="宋体" w:hAnsi="宋体" w:eastAsia="宋体" w:cs="宋体"/>
          <w:sz w:val="24"/>
          <w:szCs w:val="24"/>
          <w:lang w:val="en-US" w:eastAsia="zh-CN"/>
        </w:rPr>
        <w:t>以</w:t>
      </w:r>
      <w:r>
        <w:rPr>
          <w:rFonts w:hint="eastAsia" w:ascii="宋体" w:hAnsi="宋体" w:eastAsia="宋体" w:cs="宋体"/>
          <w:sz w:val="24"/>
          <w:szCs w:val="24"/>
        </w:rPr>
        <w:t>共享单车</w:t>
      </w:r>
      <w:r>
        <w:rPr>
          <w:rFonts w:hint="eastAsia" w:ascii="宋体" w:hAnsi="宋体" w:eastAsia="宋体" w:cs="宋体"/>
          <w:sz w:val="24"/>
          <w:szCs w:val="24"/>
          <w:lang w:val="en-US" w:eastAsia="zh-CN"/>
        </w:rPr>
        <w:t>为例</w:t>
      </w:r>
      <w:r>
        <w:rPr>
          <w:rFonts w:hint="eastAsia" w:ascii="宋体" w:hAnsi="宋体" w:eastAsia="宋体" w:cs="宋体"/>
          <w:sz w:val="24"/>
          <w:szCs w:val="24"/>
        </w:rPr>
        <w:t>，2015年下半年开始爆发，随后陆陆续续有70多家</w:t>
      </w:r>
      <w:r>
        <w:rPr>
          <w:rFonts w:hint="eastAsia" w:ascii="宋体" w:hAnsi="宋体" w:eastAsia="宋体" w:cs="宋体"/>
          <w:sz w:val="24"/>
          <w:szCs w:val="24"/>
          <w:lang w:eastAsia="zh-CN"/>
        </w:rPr>
        <w:t>。</w:t>
      </w:r>
      <w:r>
        <w:rPr>
          <w:rFonts w:hint="eastAsia" w:ascii="宋体" w:hAnsi="宋体" w:eastAsia="宋体" w:cs="宋体"/>
          <w:sz w:val="24"/>
          <w:szCs w:val="24"/>
        </w:rPr>
        <w:t>2017年，具有一定规模的共享单车企业尚有10多家</w:t>
      </w:r>
      <w:r>
        <w:rPr>
          <w:rFonts w:hint="eastAsia" w:ascii="宋体" w:hAnsi="宋体" w:eastAsia="宋体" w:cs="宋体"/>
          <w:sz w:val="24"/>
          <w:szCs w:val="24"/>
          <w:lang w:eastAsia="zh-CN"/>
        </w:rPr>
        <w:t>。</w:t>
      </w:r>
      <w:r>
        <w:rPr>
          <w:rFonts w:hint="eastAsia" w:ascii="宋体" w:hAnsi="宋体" w:eastAsia="宋体" w:cs="宋体"/>
          <w:sz w:val="24"/>
          <w:szCs w:val="24"/>
        </w:rPr>
        <w:t>但如今，中国共享单车APP排行榜上仅有7家公司，他们分别是摩拜，ofo，哈啰出行，永安行，享骑电单车，小蓝单车，酷骑单车。</w:t>
      </w:r>
      <w:r>
        <w:rPr>
          <w:rFonts w:hint="eastAsia" w:ascii="宋体" w:hAnsi="宋体" w:eastAsia="宋体" w:cs="宋体"/>
          <w:sz w:val="24"/>
          <w:szCs w:val="24"/>
          <w:lang w:val="en-US" w:eastAsia="zh-CN"/>
        </w:rPr>
        <w:t>但就用户而言，其中仅有几家较为耳熟，</w:t>
      </w:r>
      <w:r>
        <w:rPr>
          <w:rFonts w:hint="eastAsia" w:ascii="宋体" w:hAnsi="宋体" w:eastAsia="宋体" w:cs="宋体"/>
          <w:sz w:val="24"/>
          <w:szCs w:val="24"/>
        </w:rPr>
        <w:t>这就是马太效应</w:t>
      </w:r>
      <w:r>
        <w:rPr>
          <w:rFonts w:hint="eastAsia" w:ascii="宋体" w:hAnsi="宋体" w:eastAsia="宋体" w:cs="宋体"/>
          <w:sz w:val="24"/>
          <w:szCs w:val="24"/>
          <w:lang w:val="en-US" w:eastAsia="zh-CN"/>
        </w:rPr>
        <w:t>所体现的“</w:t>
      </w:r>
      <w:r>
        <w:rPr>
          <w:rFonts w:hint="eastAsia" w:ascii="宋体" w:hAnsi="宋体" w:eastAsia="宋体" w:cs="宋体"/>
          <w:sz w:val="24"/>
          <w:szCs w:val="24"/>
        </w:rPr>
        <w:t>强者愈强</w:t>
      </w:r>
      <w:r>
        <w:rPr>
          <w:rFonts w:hint="eastAsia" w:ascii="宋体" w:hAnsi="宋体" w:eastAsia="宋体" w:cs="宋体"/>
          <w:sz w:val="24"/>
          <w:szCs w:val="24"/>
          <w:lang w:val="en-US" w:eastAsia="zh-CN"/>
        </w:rPr>
        <w:t>”。</w:t>
      </w:r>
      <w:r>
        <w:rPr>
          <w:rFonts w:hint="eastAsia" w:ascii="宋体" w:hAnsi="宋体" w:eastAsia="宋体" w:cs="宋体"/>
          <w:sz w:val="24"/>
          <w:szCs w:val="24"/>
        </w:rPr>
        <w:t>强势的产品能够不断积累优势，扩大自己的市场占有率，最后通吃整个市场；而弱势的产品则会愈来愈弱，生存空间不断受挤压，直到最终销声匿迹。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直播电商领域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2021年10月20日，天猫双十一预售，李佳琦、薇娅再次成为焦点。数据显示，当晚李佳琦预售销售额为106亿元，薇娅为82亿元。当晚，两人直播间的观看人次</w:t>
      </w:r>
      <w:r>
        <w:rPr>
          <w:rFonts w:hint="eastAsia" w:ascii="宋体" w:hAnsi="宋体" w:eastAsia="宋体" w:cs="宋体"/>
          <w:sz w:val="24"/>
          <w:szCs w:val="24"/>
          <w:highlight w:val="none"/>
          <w:lang w:val="en-US" w:eastAsia="zh-CN"/>
        </w:rPr>
        <w:t>累计超过</w:t>
      </w:r>
      <w:r>
        <w:rPr>
          <w:rFonts w:hint="eastAsia" w:ascii="宋体" w:hAnsi="宋体" w:eastAsia="宋体" w:cs="宋体"/>
          <w:sz w:val="24"/>
          <w:szCs w:val="24"/>
          <w:lang w:val="en-US" w:eastAsia="zh-CN"/>
        </w:rPr>
        <w:t>2亿，再创新高。虽然品牌商、平台，甚至抢不到优惠的消费者都在吐槽头部主播的“马太效应”，殊不知自己正是这一效应的参与者和推动者。直播电商主播的头部化，也是由于马太效应的存在。头部主播的马太效应在于：当主播可以拿到更大的折扣，更低的价格，就会吸引更多的消费者上来；消费者越多，主播就拥有了更大的谈判权和主动性，可以再去谈更大的折扣。交叉需求弹性之下，这出现了平台的“正反馈”效应。</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在线音乐领域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音乐软件市场中，一般那些率先进入市场、品牌显赫的开发公司，具备一定的先发优势，通过网络信息传播的强穿透力和低成本，能够迅速获得用户，即钩住用户，进而占领市场。而市场中的后入者除非在技术水平或者用户体验上有过人之处，否则难以得到用户的选择与青睐。这样一来，在线音乐市场就会形成强者愈强、弱者愈弱的局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生活中常用的在线音乐软件有酷狗音乐、酷我音乐、QQ音乐、网易云音乐、虾米音乐、千千音乐、咪咕音乐等。以艾瑞网2020年1月公布的数据为例，在本月独立设备数量中，酷狗音乐与QQ音乐具有明显的优势，处于领先位置。以2019年12月移动观象台公布的应用活跃度排行数据为例，我国国内在线音乐软件活跃度中，酷狗音乐，QQ音乐，酷我音乐，网易云音乐以及虾米音乐排名前五，其中酷狗音乐活跃度明显高于其他在线音乐软件。以QuestMoblie2019年公布的数据为例，在总使用次数占比中，酷狗音乐以占比29%列第一位，网易云音乐以23%列第二位，酷我音乐，QQ音乐以约20%列第三、四位，酷狗音乐与网易云音乐共占比超过50%，前四位音乐软件共占比超过90%。由以上数据分析可看出，酷狗音乐，酷我音乐，QQ音乐以及网易云音乐市场位置优势明显，在线音乐软件中的马太效应非常显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出现的原因</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针对互联网产品</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用户规模积累会转化为产品的优势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互联网产品提供的服务不仅包括通过技术手段实现的功能，还包括功能所负责显示和处理的内容，有时后者提供的价值要远远高于前者。比如，知乎上用户的回答产生的内容，干货价值更高，而优质的内容，会吸引更多的用户；这些用户又会创造出更加优质的内容，由此源源不断，形成正循环。</w:t>
      </w:r>
      <w:r>
        <w:rPr>
          <w:rFonts w:hint="eastAsia" w:ascii="宋体" w:hAnsi="宋体" w:eastAsia="宋体" w:cs="宋体"/>
          <w:sz w:val="24"/>
          <w:szCs w:val="24"/>
        </w:rPr>
        <w:t>产品的使用用户越多，产品能够获得的投入往往也越大。</w:t>
      </w:r>
      <w:r>
        <w:rPr>
          <w:rFonts w:hint="eastAsia" w:ascii="宋体" w:hAnsi="宋体" w:eastAsia="宋体" w:cs="宋体"/>
          <w:sz w:val="24"/>
          <w:szCs w:val="24"/>
          <w:lang w:val="en-US" w:eastAsia="zh-CN"/>
        </w:rPr>
        <w:t>产品的用户规模越大，后续变现就有无限可能，产品能获得的资源投入越大。对内可促使公司加大资源投入，对外可吸引更多投资融资，用这些资源可以继续投入至强化产品的核心竞争力，用于拉新、促活、变现等等，迅速拉开与竞争者的差距。</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同类产品间用户的迁移成本极低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绝大多数互联网产品都是免费的，同类产品的同质化竞争很明显，获取互联网产品的渠道也很便捷，对用户来说门槛极低。以购买商品的支付为例，消费者可以选择刷卡支付、微信支付、支付宝支付、云闪付支付等等，这类工具替换纸币交易的效果差异不大、且都是免费使用，用了哪个觉得不方便完全可以找到同类替代品，对于用户来说的成本也就是仅仅是下载注册个APP。显然，当我们发现有更好的替代品时，我们会轻易地舍弃现在正在使用的产品；如果我们知道某款产品的口碑很好，用的人很多，我们就会扎堆使用该产品。</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针对直播电商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买手”的需求早已有之，是电商直播领域马太效应的深层原因之一。当双十一走到第14个年头，人们比以往更加清楚自己要什么，但却比以往更难选择买什么。近年，埃森哲做过一份样本数超过1万名中国消费者的调研，并在随后发布的《2022中国消费者洞察》中指出，人们的消费观念正在变得更加克制、务实，对自身需求有了更为精准的认知，消费者更加谨慎地对待每一次购物决策，思考时间拉长，对产品研究也更为全面深入。这让新品爱好者陷入一种矛盾之中：理性消费需要多方比较、深入研究，但品牌上新数量连年上升，新品的筛选难度增加，同时获取信息的渠道越来越多元，决策的时间成本上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对长长的购物清单上，密密麻麻的可选项，追新者比以往更加渴望找到一个中立的“买手”，帮助自己跳过复杂烧脑的消费决策过程，直达心仪的商品。某种程度上说，头部主播是叠加了买手身份的，面对新品，他们有严格的选品标准和流程、强大的议价能力，给了粉丝用户“无脑买”的信任感，信任感进一步提升了他们的议价能力，进而吸引来新的流量。实际上，拥有生态量级的头部电商平台，是诞生新品买手的绝佳之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针对在线音乐</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开发者拥有共享优势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在线音乐软件背后的开发公司，大部分都从属于某一个集团。大集团无疑会给此类音乐软件带来一定的优势与积极影响。以QQ音乐为例，QQ音乐属于腾讯集团</w:t>
      </w:r>
      <w:r>
        <w:rPr>
          <w:rFonts w:hint="eastAsia" w:ascii="宋体" w:hAnsi="宋体" w:eastAsia="宋体" w:cs="宋体"/>
          <w:sz w:val="24"/>
          <w:szCs w:val="24"/>
          <w:highlight w:val="none"/>
        </w:rPr>
        <w:t>下</w:t>
      </w:r>
      <w:r>
        <w:rPr>
          <w:rFonts w:hint="eastAsia" w:ascii="宋体" w:hAnsi="宋体" w:eastAsia="宋体" w:cs="宋体"/>
          <w:sz w:val="24"/>
          <w:szCs w:val="24"/>
        </w:rPr>
        <w:t>的腾讯音乐有限公司，</w:t>
      </w:r>
      <w:r>
        <w:rPr>
          <w:rFonts w:hint="eastAsia" w:ascii="宋体" w:hAnsi="宋体" w:eastAsia="宋体" w:cs="宋体"/>
          <w:sz w:val="24"/>
          <w:szCs w:val="24"/>
          <w:lang w:val="en-US" w:eastAsia="zh-CN"/>
        </w:rPr>
        <w:t>在</w:t>
      </w:r>
      <w:r>
        <w:rPr>
          <w:rFonts w:hint="eastAsia" w:ascii="宋体" w:hAnsi="宋体" w:eastAsia="宋体" w:cs="宋体"/>
          <w:sz w:val="24"/>
          <w:szCs w:val="24"/>
        </w:rPr>
        <w:t>在线音乐市场中具有较明显的优势，同时QQ音乐可以与腾讯的其他产品互通使用，比如登录该软件时不用再输入个人信息，可以直接微信登录或QQ登录。根据艾媒咨询分析，QQ音乐的高活跃用户数在一定程度上得益于同属腾讯集团的QQ与微信两大社交平台的流量优势。除此之外，以咪咕音乐为例，咪咕音乐背后的咪咕文化有限公司的实际控制人是中国移动通信有限公司，与QQ音乐类似，咪咕音乐在在线音乐市场上仍能占有一定份额，在一定程度上得益于移动通信的用户优势，例如不定时赠送移动用户咪咕音乐优惠券等，这为咪咕音乐提供了一定的用户基础。</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投资者具有投资偏好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在线音乐作为互联网行业中的一种，不可避免</w:t>
      </w:r>
      <w:r>
        <w:rPr>
          <w:rFonts w:hint="eastAsia" w:ascii="宋体" w:hAnsi="宋体" w:eastAsia="宋体" w:cs="宋体"/>
          <w:sz w:val="24"/>
          <w:szCs w:val="24"/>
          <w:highlight w:val="none"/>
          <w:lang w:val="en-US" w:eastAsia="zh-CN"/>
        </w:rPr>
        <w:t>地</w:t>
      </w:r>
      <w:r>
        <w:rPr>
          <w:rFonts w:hint="eastAsia" w:ascii="宋体" w:hAnsi="宋体" w:eastAsia="宋体" w:cs="宋体"/>
          <w:sz w:val="24"/>
          <w:szCs w:val="24"/>
          <w:lang w:val="en-US" w:eastAsia="zh-CN"/>
        </w:rPr>
        <w:t>伴有互联网行业的一般特点——竞争激烈且瞬息万变，在线音乐开发企业的生存与发展存在较大的不确定性，因此，该行业的投资人一般偏向于继续投资行业中的领先企业，在规避风险的同时快速赢得收益，多数是风险厌恶的，属于保守的风险承担者，更多地追求确定性收益。这种损失厌恶的存在使在线音乐行业中的领先者更容易获得充足资金，用于网络宣传，扩大曲库和新功能开发等，提高用户体验，从而赢得更多用户，而新兴音乐软件一般只能挣扎在初入市场的边缘，很快被激烈的竞争所淘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用户养成使用习惯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在线音乐软件拥有</w:t>
      </w:r>
      <w:r>
        <w:rPr>
          <w:rFonts w:hint="eastAsia" w:ascii="宋体" w:hAnsi="宋体" w:eastAsia="宋体" w:cs="宋体"/>
          <w:sz w:val="24"/>
          <w:szCs w:val="24"/>
          <w:highlight w:val="none"/>
          <w:lang w:val="en-US" w:eastAsia="zh-CN"/>
        </w:rPr>
        <w:t>用户粘性</w:t>
      </w:r>
      <w:r>
        <w:rPr>
          <w:rFonts w:hint="eastAsia" w:ascii="宋体" w:hAnsi="宋体" w:eastAsia="宋体" w:cs="宋体"/>
          <w:sz w:val="24"/>
          <w:szCs w:val="24"/>
          <w:lang w:val="en-US" w:eastAsia="zh-CN"/>
        </w:rPr>
        <w:t>，即</w:t>
      </w:r>
      <w:r>
        <w:rPr>
          <w:rFonts w:hint="eastAsia" w:ascii="宋体" w:hAnsi="宋体" w:eastAsia="宋体" w:cs="宋体"/>
          <w:sz w:val="24"/>
          <w:szCs w:val="24"/>
        </w:rPr>
        <w:t>指的是用户对于品牌或产品的忠诚、信任与良性体验等结合起来形成的依赖感和再消费期望值。依赖感越强，用户粘性越高；再消费期望值越高，</w:t>
      </w:r>
      <w:r>
        <w:rPr>
          <w:rFonts w:hint="eastAsia" w:ascii="宋体" w:hAnsi="宋体" w:eastAsia="宋体" w:cs="宋体"/>
          <w:sz w:val="24"/>
          <w:szCs w:val="24"/>
          <w:highlight w:val="none"/>
        </w:rPr>
        <w:t>用户粘性</w:t>
      </w:r>
      <w:r>
        <w:rPr>
          <w:rFonts w:hint="eastAsia" w:ascii="宋体" w:hAnsi="宋体" w:eastAsia="宋体" w:cs="宋体"/>
          <w:sz w:val="24"/>
          <w:szCs w:val="24"/>
        </w:rPr>
        <w:t>越高。一般来说，率先进入市场的互联网企业能取得用户的信任，并引导用户形成长期使用习惯。在线音乐软件属于习惯养成类产品，能够让用户对此形成一定的依赖性，并养成使用习惯。一旦用户</w:t>
      </w:r>
      <w:r>
        <w:rPr>
          <w:rFonts w:hint="eastAsia" w:ascii="宋体" w:hAnsi="宋体" w:eastAsia="宋体" w:cs="宋体"/>
          <w:sz w:val="24"/>
          <w:szCs w:val="24"/>
          <w:highlight w:val="none"/>
          <w:lang w:eastAsia="zh-CN"/>
        </w:rPr>
        <w:t>开始频繁地使用</w:t>
      </w:r>
      <w:r>
        <w:rPr>
          <w:rFonts w:hint="eastAsia" w:ascii="宋体" w:hAnsi="宋体" w:eastAsia="宋体" w:cs="宋体"/>
          <w:sz w:val="24"/>
          <w:szCs w:val="24"/>
        </w:rPr>
        <w:t>某个音乐软件，久而久之，该用户便会将这项服务纳入到自己固定的行为习惯中。用户一旦选择了某款产品、平台或软件，形成较为稳定的偏好，便很难去选择另一款同质性的产品，因此造成了行业垄断。其中，根据QuestMobile公布的数据可知，在线音乐中的付费</w:t>
      </w:r>
      <w:r>
        <w:rPr>
          <w:rFonts w:hint="eastAsia" w:ascii="宋体" w:hAnsi="宋体" w:eastAsia="宋体" w:cs="宋体"/>
          <w:sz w:val="24"/>
          <w:szCs w:val="24"/>
          <w:highlight w:val="none"/>
        </w:rPr>
        <w:t>用户粘性</w:t>
      </w:r>
      <w:r>
        <w:rPr>
          <w:rFonts w:hint="eastAsia" w:ascii="宋体" w:hAnsi="宋体" w:eastAsia="宋体" w:cs="宋体"/>
          <w:sz w:val="24"/>
          <w:szCs w:val="24"/>
        </w:rPr>
        <w:t>显著高于整体用户，主要原因在于更佳的音质体验，高质量内容以及良好的参与感等。随着用户的版权付费意识不断增强，领先提供付费服务的音乐平台优势会更加突出。</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网络外部性的影响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网络外部性，即个人的需求受其他相关联的人的购买量影响。在线音乐软件的分享功能为通过好友、圈子等增加用户</w:t>
      </w:r>
      <w:r>
        <w:rPr>
          <w:rFonts w:hint="eastAsia" w:ascii="宋体" w:hAnsi="宋体" w:eastAsia="宋体" w:cs="宋体"/>
          <w:sz w:val="24"/>
          <w:szCs w:val="24"/>
          <w:highlight w:val="none"/>
        </w:rPr>
        <w:t>的粘性</w:t>
      </w:r>
      <w:r>
        <w:rPr>
          <w:rFonts w:hint="eastAsia" w:ascii="宋体" w:hAnsi="宋体" w:eastAsia="宋体" w:cs="宋体"/>
          <w:sz w:val="24"/>
          <w:szCs w:val="24"/>
        </w:rPr>
        <w:t>提供了可能，多数用户使用音乐软件的决定受到周围有关联的其他人影响，并且在线音乐软件中的好友关注功能等使得用户</w:t>
      </w:r>
      <w:r>
        <w:rPr>
          <w:rFonts w:hint="eastAsia" w:ascii="宋体" w:hAnsi="宋体" w:eastAsia="宋体" w:cs="宋体"/>
          <w:sz w:val="24"/>
          <w:szCs w:val="24"/>
          <w:highlight w:val="none"/>
        </w:rPr>
        <w:t>的粘性</w:t>
      </w:r>
      <w:r>
        <w:rPr>
          <w:rFonts w:hint="eastAsia" w:ascii="宋体" w:hAnsi="宋体" w:eastAsia="宋体" w:cs="宋体"/>
          <w:sz w:val="24"/>
          <w:szCs w:val="24"/>
        </w:rPr>
        <w:t>增强，以QQ音乐为例，前文已提及，QQ音乐的用户优势部分得益于QQ和微信两大社交软件的流量优势与用户优势，这说明，音乐软件的选择与否与用户其周围相关联的人们的选择存在关系，其他人的相关使用体验与评价等会对用户的选择造成一定影响，从用户角度来看，在线音乐存在明显的连带外部正效应。</w:t>
      </w:r>
    </w:p>
    <w:p>
      <w:pPr>
        <w:rPr>
          <w:rFonts w:hint="eastAsia"/>
        </w:rPr>
      </w:pPr>
    </w:p>
    <w:p>
      <w:r>
        <w:br w:type="page"/>
      </w:r>
    </w:p>
    <w:p>
      <w:pPr>
        <w:spacing w:line="360" w:lineRule="auto"/>
        <w:rPr>
          <w:rFonts w:hint="eastAsia" w:eastAsia="宋体"/>
          <w:lang w:eastAsia="zh-CN"/>
        </w:rPr>
      </w:pPr>
      <w:r>
        <w:rPr>
          <w:rFonts w:hint="eastAsia"/>
        </w:rPr>
        <w:t>【6】简要给出制作过程说明、心得体会</w:t>
      </w:r>
      <w:r>
        <w:rPr>
          <w:rFonts w:hint="eastAsia"/>
          <w:lang w:eastAsia="zh-CN"/>
        </w:rPr>
        <w:t>：</w:t>
      </w:r>
    </w:p>
    <w:p>
      <w:pPr>
        <w:spacing w:line="360" w:lineRule="auto"/>
        <w:ind w:firstLine="480" w:firstLineChars="200"/>
        <w:rPr>
          <w:rFonts w:hint="eastAsia"/>
          <w:lang w:val="en-US" w:eastAsia="zh-CN"/>
        </w:rPr>
      </w:pPr>
      <w:r>
        <w:rPr>
          <w:rFonts w:hint="eastAsia"/>
          <w:lang w:val="en-US" w:eastAsia="zh-CN"/>
        </w:rPr>
        <w:t>最近关注到大唐不夜城的表演活动又再次火出圈，自己也非常喜欢“盛唐密盒”这一企划，于是便确定了视频的主题。</w:t>
      </w:r>
    </w:p>
    <w:p>
      <w:pPr>
        <w:spacing w:line="360" w:lineRule="auto"/>
        <w:ind w:firstLine="480" w:firstLineChars="200"/>
        <w:rPr>
          <w:rFonts w:hint="eastAsia"/>
          <w:lang w:val="en-US" w:eastAsia="zh-CN"/>
        </w:rPr>
      </w:pPr>
      <w:r>
        <w:rPr>
          <w:rFonts w:hint="eastAsia"/>
          <w:lang w:val="en-US" w:eastAsia="zh-CN"/>
        </w:rPr>
        <w:t>制作过程主要包括寻找素材、设计转场特效、制作字幕及配音等过程。首先，在定好视频文稿的基础上，收集与之相关的素材。在完成抠图、拼接等环节后，开始加入转场和特效，加强各片段间的流畅性。最后，选取与大唐不夜城相匹配的背景音乐，并加入至视频中。</w:t>
      </w:r>
    </w:p>
    <w:p>
      <w:pPr>
        <w:spacing w:line="360" w:lineRule="auto"/>
        <w:ind w:firstLine="480" w:firstLineChars="200"/>
        <w:rPr>
          <w:rFonts w:hint="eastAsia"/>
          <w:lang w:val="en-US" w:eastAsia="zh-CN"/>
        </w:rPr>
      </w:pPr>
      <w:r>
        <w:rPr>
          <w:rFonts w:hint="eastAsia"/>
          <w:lang w:val="en-US" w:eastAsia="zh-CN"/>
        </w:rPr>
        <w:t>虽然视频时长仅不到两分钟，但背后所付出的时间确成视频时长的百倍。第一次将一个视频实现“从无到有”，我觉得非常有挑战性，也非常有成就感。</w:t>
      </w:r>
    </w:p>
    <w:p>
      <w:pPr>
        <w:spacing w:line="360" w:lineRule="auto"/>
        <w:ind w:firstLine="480" w:firstLineChars="200"/>
        <w:rPr>
          <w:rFonts w:hint="eastAsia"/>
          <w:lang w:val="en-US" w:eastAsia="zh-CN"/>
        </w:rPr>
      </w:pPr>
    </w:p>
    <w:p>
      <w:pPr>
        <w:spacing w:line="360" w:lineRule="auto"/>
        <w:ind w:firstLine="480" w:firstLineChars="200"/>
        <w:rPr>
          <w:rFonts w:hint="default"/>
          <w:lang w:val="en-US" w:eastAsia="zh-CN"/>
        </w:rPr>
      </w:pPr>
      <w:r>
        <w:rPr>
          <w:rFonts w:hint="eastAsia"/>
          <w:lang w:val="en-US" w:eastAsia="zh-CN"/>
        </w:rPr>
        <w:t>作业视频截图</w:t>
      </w:r>
    </w:p>
    <w:p>
      <w:pPr>
        <w:spacing w:line="360" w:lineRule="auto"/>
        <w:ind w:firstLine="480" w:firstLineChars="200"/>
        <w:rPr>
          <w:rFonts w:hint="default"/>
          <w:lang w:val="en-US" w:eastAsia="zh-CN"/>
        </w:rPr>
      </w:pPr>
      <w:r>
        <w:drawing>
          <wp:inline distT="0" distB="0" distL="114300" distR="114300">
            <wp:extent cx="6108065" cy="3278505"/>
            <wp:effectExtent l="0" t="0" r="317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6108065" cy="3278505"/>
                    </a:xfrm>
                    <a:prstGeom prst="rect">
                      <a:avLst/>
                    </a:prstGeom>
                    <a:noFill/>
                    <a:ln>
                      <a:noFill/>
                    </a:ln>
                  </pic:spPr>
                </pic:pic>
              </a:graphicData>
            </a:graphic>
          </wp:inline>
        </w:drawing>
      </w:r>
    </w:p>
    <w:sectPr>
      <w:headerReference r:id="rId3" w:type="default"/>
      <w:footerReference r:id="rId4" w:type="default"/>
      <w:pgSz w:w="11906" w:h="16838"/>
      <w:pgMar w:top="1701" w:right="1134" w:bottom="1361" w:left="1134" w:header="680"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wiss 721 SWA">
    <w:altName w:val="Yu Gothic UI"/>
    <w:panose1 w:val="020B0504020202020204"/>
    <w:charset w:val="00"/>
    <w:family w:val="swiss"/>
    <w:pitch w:val="default"/>
    <w:sig w:usb0="00000000" w:usb1="00000000" w:usb2="00000000" w:usb3="00000000" w:csb0="0000001B"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Borders>
        <w:top w:val="single" w:color="004EA2" w:sz="6"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05"/>
      <w:gridCol w:w="1123"/>
    </w:tblGrid>
    <w:tr>
      <w:tblPrEx>
        <w:tblBorders>
          <w:top w:val="single" w:color="004EA2" w:sz="6"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9" w:hRule="atLeast"/>
      </w:trPr>
      <w:tc>
        <w:tcPr>
          <w:tcW w:w="8505" w:type="dxa"/>
          <w:vAlign w:val="center"/>
        </w:tcPr>
        <w:p>
          <w:pPr>
            <w:pStyle w:val="2"/>
            <w:jc w:val="both"/>
            <w:rPr>
              <w:rFonts w:ascii="微软雅黑" w:hAnsi="微软雅黑" w:eastAsia="微软雅黑"/>
            </w:rPr>
          </w:pPr>
          <w:r>
            <w:rPr>
              <w:rFonts w:hint="eastAsia" w:ascii="微软雅黑" w:hAnsi="微软雅黑" w:eastAsia="微软雅黑"/>
            </w:rPr>
            <w:t>地址：陕西省西安市长安区东祥路</w:t>
          </w:r>
          <w:r>
            <w:rPr>
              <w:rFonts w:ascii="微软雅黑" w:hAnsi="微软雅黑" w:eastAsia="微软雅黑"/>
            </w:rPr>
            <w:t xml:space="preserve">1号计算机学院  邮编:710129 </w:t>
          </w:r>
        </w:p>
        <w:p>
          <w:pPr>
            <w:pStyle w:val="2"/>
            <w:jc w:val="both"/>
            <w:rPr>
              <w:rFonts w:ascii="微软雅黑" w:hAnsi="微软雅黑" w:eastAsia="微软雅黑"/>
            </w:rPr>
          </w:pPr>
          <w:r>
            <w:rPr>
              <w:rFonts w:ascii="微软雅黑" w:hAnsi="微软雅黑" w:eastAsia="微软雅黑"/>
            </w:rPr>
            <w:t>ADD: 1 Dongxiang Road, Chang'an District, Xi'an Shaanxi,710129, P.R.China.</w:t>
          </w:r>
        </w:p>
      </w:tc>
      <w:tc>
        <w:tcPr>
          <w:tcW w:w="1123" w:type="dxa"/>
          <w:vAlign w:val="center"/>
        </w:tcPr>
        <w:p>
          <w:pPr>
            <w:pStyle w:val="2"/>
            <w:jc w:val="center"/>
            <w:rPr>
              <w:rFonts w:ascii="Consolas" w:hAnsi="Consolas" w:eastAsia="微软雅黑" w:cs="Consolas"/>
              <w:sz w:val="24"/>
              <w:szCs w:val="24"/>
            </w:rPr>
          </w:pPr>
          <w:r>
            <w:rPr>
              <w:rFonts w:ascii="Consolas" w:hAnsi="Consolas" w:eastAsia="微软雅黑" w:cs="Consolas"/>
              <w:sz w:val="24"/>
              <w:szCs w:val="24"/>
            </w:rPr>
            <w:fldChar w:fldCharType="begin"/>
          </w:r>
          <w:r>
            <w:rPr>
              <w:rFonts w:ascii="Consolas" w:hAnsi="Consolas" w:eastAsia="微软雅黑" w:cs="Consolas"/>
              <w:sz w:val="24"/>
              <w:szCs w:val="24"/>
            </w:rPr>
            <w:instrText xml:space="preserve">PAGE   \* MERGEFORMAT</w:instrText>
          </w:r>
          <w:r>
            <w:rPr>
              <w:rFonts w:ascii="Consolas" w:hAnsi="Consolas" w:eastAsia="微软雅黑" w:cs="Consolas"/>
              <w:sz w:val="24"/>
              <w:szCs w:val="24"/>
            </w:rPr>
            <w:fldChar w:fldCharType="separate"/>
          </w:r>
          <w:r>
            <w:rPr>
              <w:rFonts w:ascii="Consolas" w:hAnsi="Consolas" w:eastAsia="微软雅黑" w:cs="Consolas"/>
              <w:sz w:val="24"/>
              <w:szCs w:val="24"/>
              <w:lang w:val="zh-CN"/>
            </w:rPr>
            <w:t>4</w:t>
          </w:r>
          <w:r>
            <w:rPr>
              <w:rFonts w:ascii="Consolas" w:hAnsi="Consolas" w:eastAsia="微软雅黑" w:cs="Consolas"/>
              <w:sz w:val="24"/>
              <w:szCs w:val="24"/>
            </w:rPr>
            <w:fldChar w:fldCharType="end"/>
          </w:r>
        </w:p>
      </w:tc>
    </w:tr>
  </w:tbl>
  <w:p>
    <w:pPr>
      <w:pStyle w:val="2"/>
      <w:spacing w:line="40" w:lineRule="exact"/>
      <w:rPr>
        <w:rFonts w:ascii="宋体" w:hAnsi="宋体"/>
        <w:sz w:val="10"/>
        <w:szCs w:val="1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6"/>
      <w:tblW w:w="0" w:type="auto"/>
      <w:tblInd w:w="0" w:type="dxa"/>
      <w:tblBorders>
        <w:top w:val="none" w:color="auto" w:sz="0" w:space="0"/>
        <w:left w:val="none" w:color="auto" w:sz="0" w:space="0"/>
        <w:bottom w:val="single" w:color="004EA2"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20"/>
      <w:gridCol w:w="2977"/>
      <w:gridCol w:w="1831"/>
    </w:tblGrid>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restart"/>
          <w:vAlign w:val="center"/>
        </w:tcPr>
        <w:p>
          <w:pPr>
            <w:pStyle w:val="3"/>
            <w:pBdr>
              <w:bottom w:val="none" w:color="auto" w:sz="0" w:space="0"/>
            </w:pBdr>
            <w:jc w:val="both"/>
            <w:rPr>
              <w:rFonts w:ascii="微软雅黑" w:hAnsi="微软雅黑" w:eastAsia="微软雅黑"/>
              <w:sz w:val="32"/>
              <w:szCs w:val="32"/>
            </w:rPr>
          </w:pPr>
          <w:r>
            <w:rPr>
              <w:rFonts w:ascii="微软雅黑" w:hAnsi="微软雅黑" w:eastAsia="微软雅黑"/>
              <w:sz w:val="32"/>
              <w:szCs w:val="32"/>
            </w:rPr>
            <w:t>作业纸</w:t>
          </w:r>
        </w:p>
        <w:p>
          <w:pPr>
            <w:pStyle w:val="3"/>
            <w:pBdr>
              <w:bottom w:val="none" w:color="auto" w:sz="0" w:space="0"/>
            </w:pBdr>
            <w:jc w:val="both"/>
            <w:rPr>
              <w:rFonts w:ascii="微软雅黑" w:hAnsi="微软雅黑" w:eastAsia="微软雅黑"/>
            </w:rPr>
          </w:pPr>
          <w:r>
            <w:rPr>
              <w:rFonts w:hint="eastAsia" w:ascii="微软雅黑" w:hAnsi="微软雅黑" w:eastAsia="微软雅黑"/>
            </w:rPr>
            <w:t>大学生信息素养</w:t>
          </w:r>
        </w:p>
      </w:tc>
      <w:tc>
        <w:tcPr>
          <w:tcW w:w="2977" w:type="dxa"/>
          <w:vMerge w:val="restart"/>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宋体" w:hAnsi="宋体"/>
            </w:rPr>
          </w:pPr>
          <w:r>
            <w:rPr>
              <w:rFonts w:ascii="宋体" w:hAnsi="宋体"/>
            </w:rPr>
            <w:drawing>
              <wp:inline distT="0" distB="0" distL="0" distR="0">
                <wp:extent cx="408940"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continue"/>
          <w:vAlign w:val="center"/>
        </w:tcPr>
        <w:p>
          <w:pPr>
            <w:pStyle w:val="3"/>
            <w:pBdr>
              <w:bottom w:val="none" w:color="auto" w:sz="0" w:space="0"/>
            </w:pBdr>
            <w:jc w:val="both"/>
            <w:rPr>
              <w:rFonts w:ascii="微软雅黑" w:hAnsi="微软雅黑" w:eastAsia="微软雅黑"/>
              <w:sz w:val="32"/>
              <w:szCs w:val="32"/>
            </w:rPr>
          </w:pPr>
        </w:p>
      </w:tc>
      <w:tc>
        <w:tcPr>
          <w:tcW w:w="2977" w:type="dxa"/>
          <w:vMerge w:val="continue"/>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Swiss 721 SWA" w:hAnsi="Swiss 721 SWA"/>
              <w:sz w:val="13"/>
              <w:szCs w:val="13"/>
            </w:rPr>
          </w:pPr>
          <w:r>
            <w:rPr>
              <w:rFonts w:ascii="Swiss 721 SWA" w:hAnsi="Swiss 721 SWA"/>
              <w:sz w:val="13"/>
              <w:szCs w:val="13"/>
            </w:rPr>
            <w:t>INFORMATION LITERACY</w:t>
          </w:r>
        </w:p>
      </w:tc>
    </w:tr>
  </w:tbl>
  <w:p>
    <w:pPr>
      <w:pStyle w:val="3"/>
      <w:pBdr>
        <w:bottom w:val="none" w:color="auto" w:sz="0" w:space="0"/>
      </w:pBdr>
      <w:spacing w:line="120" w:lineRule="exact"/>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FFE2E1"/>
    <w:multiLevelType w:val="singleLevel"/>
    <w:tmpl w:val="CDFFE2E1"/>
    <w:lvl w:ilvl="0" w:tentative="0">
      <w:start w:val="1"/>
      <w:numFmt w:val="decimal"/>
      <w:lvlText w:val="%1."/>
      <w:lvlJc w:val="left"/>
      <w:pPr>
        <w:tabs>
          <w:tab w:val="left" w:pos="312"/>
        </w:tabs>
      </w:pPr>
    </w:lvl>
  </w:abstractNum>
  <w:abstractNum w:abstractNumId="1">
    <w:nsid w:val="2209E3E8"/>
    <w:multiLevelType w:val="singleLevel"/>
    <w:tmpl w:val="2209E3E8"/>
    <w:lvl w:ilvl="0" w:tentative="0">
      <w:start w:val="1"/>
      <w:numFmt w:val="chineseCounting"/>
      <w:suff w:val="nothing"/>
      <w:lvlText w:val="（%1）"/>
      <w:lvlJc w:val="left"/>
      <w:rPr>
        <w:rFonts w:hint="eastAsia"/>
      </w:rPr>
    </w:lvl>
  </w:abstractNum>
  <w:abstractNum w:abstractNumId="2">
    <w:nsid w:val="42B869D9"/>
    <w:multiLevelType w:val="singleLevel"/>
    <w:tmpl w:val="42B869D9"/>
    <w:lvl w:ilvl="0" w:tentative="0">
      <w:start w:val="1"/>
      <w:numFmt w:val="decimal"/>
      <w:lvlText w:val="%1."/>
      <w:lvlJc w:val="left"/>
      <w:pPr>
        <w:tabs>
          <w:tab w:val="left" w:pos="312"/>
        </w:tabs>
      </w:pPr>
    </w:lvl>
  </w:abstractNum>
  <w:abstractNum w:abstractNumId="3">
    <w:nsid w:val="4A2E7D77"/>
    <w:multiLevelType w:val="singleLevel"/>
    <w:tmpl w:val="4A2E7D77"/>
    <w:lvl w:ilvl="0" w:tentative="0">
      <w:start w:val="1"/>
      <w:numFmt w:val="chineseCounting"/>
      <w:suff w:val="nothing"/>
      <w:lvlText w:val="（%1）"/>
      <w:lvlJc w:val="left"/>
      <w:rPr>
        <w:rFonts w:hint="eastAsia"/>
      </w:rPr>
    </w:lvl>
  </w:abstractNum>
  <w:abstractNum w:abstractNumId="4">
    <w:nsid w:val="75FBD259"/>
    <w:multiLevelType w:val="singleLevel"/>
    <w:tmpl w:val="75FBD259"/>
    <w:lvl w:ilvl="0" w:tentative="0">
      <w:start w:val="1"/>
      <w:numFmt w:val="chineseCounting"/>
      <w:suff w:val="nothing"/>
      <w:lvlText w:val="%1、"/>
      <w:lvlJc w:val="left"/>
      <w:rPr>
        <w:rFonts w:hint="eastAsia"/>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D7D"/>
    <w:rsid w:val="00006299"/>
    <w:rsid w:val="0001151F"/>
    <w:rsid w:val="00014495"/>
    <w:rsid w:val="00033067"/>
    <w:rsid w:val="00045652"/>
    <w:rsid w:val="00065B9A"/>
    <w:rsid w:val="00081A57"/>
    <w:rsid w:val="00082147"/>
    <w:rsid w:val="000826A9"/>
    <w:rsid w:val="000829A9"/>
    <w:rsid w:val="000A5444"/>
    <w:rsid w:val="000A6FD1"/>
    <w:rsid w:val="000B2C7B"/>
    <w:rsid w:val="000C7677"/>
    <w:rsid w:val="000D044C"/>
    <w:rsid w:val="000D5F7D"/>
    <w:rsid w:val="000D6D29"/>
    <w:rsid w:val="000F794A"/>
    <w:rsid w:val="00101864"/>
    <w:rsid w:val="001131A6"/>
    <w:rsid w:val="00115BC5"/>
    <w:rsid w:val="00131C39"/>
    <w:rsid w:val="00142646"/>
    <w:rsid w:val="0014340B"/>
    <w:rsid w:val="00152D4C"/>
    <w:rsid w:val="0015381F"/>
    <w:rsid w:val="00157720"/>
    <w:rsid w:val="001656E0"/>
    <w:rsid w:val="00166468"/>
    <w:rsid w:val="00185C8A"/>
    <w:rsid w:val="00186E03"/>
    <w:rsid w:val="00187C61"/>
    <w:rsid w:val="001A4959"/>
    <w:rsid w:val="001B06D3"/>
    <w:rsid w:val="001B21E8"/>
    <w:rsid w:val="001C5EE1"/>
    <w:rsid w:val="001E5C6C"/>
    <w:rsid w:val="001F393C"/>
    <w:rsid w:val="00205498"/>
    <w:rsid w:val="002076A2"/>
    <w:rsid w:val="0023643D"/>
    <w:rsid w:val="00246BEC"/>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503A"/>
    <w:rsid w:val="00322B0F"/>
    <w:rsid w:val="003318CF"/>
    <w:rsid w:val="003364C1"/>
    <w:rsid w:val="003540FB"/>
    <w:rsid w:val="00377C89"/>
    <w:rsid w:val="00386ED6"/>
    <w:rsid w:val="003934CD"/>
    <w:rsid w:val="003A4A8F"/>
    <w:rsid w:val="003C4BCC"/>
    <w:rsid w:val="003C7281"/>
    <w:rsid w:val="003D604D"/>
    <w:rsid w:val="003F63E6"/>
    <w:rsid w:val="0040336C"/>
    <w:rsid w:val="00403393"/>
    <w:rsid w:val="00407B3C"/>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3EE5"/>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E2555"/>
    <w:rsid w:val="005E5249"/>
    <w:rsid w:val="00603CA6"/>
    <w:rsid w:val="0061731E"/>
    <w:rsid w:val="00620112"/>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5EA7"/>
    <w:rsid w:val="00793EDF"/>
    <w:rsid w:val="00794409"/>
    <w:rsid w:val="0079503B"/>
    <w:rsid w:val="00795A3A"/>
    <w:rsid w:val="007A30CC"/>
    <w:rsid w:val="007A4966"/>
    <w:rsid w:val="007A54E9"/>
    <w:rsid w:val="007C2406"/>
    <w:rsid w:val="007C3C45"/>
    <w:rsid w:val="007C522E"/>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D5B00"/>
    <w:rsid w:val="009E011F"/>
    <w:rsid w:val="009E7D72"/>
    <w:rsid w:val="009F3188"/>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B02F02"/>
    <w:rsid w:val="00B210F7"/>
    <w:rsid w:val="00B314DF"/>
    <w:rsid w:val="00B4025E"/>
    <w:rsid w:val="00B43AAB"/>
    <w:rsid w:val="00B44CC1"/>
    <w:rsid w:val="00B47DED"/>
    <w:rsid w:val="00B579CD"/>
    <w:rsid w:val="00B625CF"/>
    <w:rsid w:val="00B656A4"/>
    <w:rsid w:val="00B70AA4"/>
    <w:rsid w:val="00B7361C"/>
    <w:rsid w:val="00B81E5C"/>
    <w:rsid w:val="00B82EEB"/>
    <w:rsid w:val="00BB1955"/>
    <w:rsid w:val="00BD1364"/>
    <w:rsid w:val="00BD4B23"/>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B74D9"/>
    <w:rsid w:val="00CC48F9"/>
    <w:rsid w:val="00CD4B4E"/>
    <w:rsid w:val="00CD5D1C"/>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A2265"/>
    <w:rsid w:val="00EA7192"/>
    <w:rsid w:val="00EC2373"/>
    <w:rsid w:val="00EC49C5"/>
    <w:rsid w:val="00EC5714"/>
    <w:rsid w:val="00EC64DE"/>
    <w:rsid w:val="00EF1F39"/>
    <w:rsid w:val="00EF4DE5"/>
    <w:rsid w:val="00F130CA"/>
    <w:rsid w:val="00F539BC"/>
    <w:rsid w:val="00F57E20"/>
    <w:rsid w:val="00F61C42"/>
    <w:rsid w:val="00F67AE9"/>
    <w:rsid w:val="00F913EB"/>
    <w:rsid w:val="00F97003"/>
    <w:rsid w:val="00FA24B4"/>
    <w:rsid w:val="00FA6CC2"/>
    <w:rsid w:val="00FA7990"/>
    <w:rsid w:val="00FB297F"/>
    <w:rsid w:val="00FC5782"/>
    <w:rsid w:val="00FD0492"/>
    <w:rsid w:val="00FD3746"/>
    <w:rsid w:val="00FD4A04"/>
    <w:rsid w:val="00FE19AF"/>
    <w:rsid w:val="00FE2E64"/>
    <w:rsid w:val="43535974"/>
    <w:rsid w:val="5F2D6274"/>
    <w:rsid w:val="6B2A5289"/>
    <w:rsid w:val="78411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3"/>
    <w:uiPriority w:val="99"/>
    <w:rPr>
      <w:sz w:val="18"/>
      <w:szCs w:val="18"/>
    </w:rPr>
  </w:style>
  <w:style w:type="character" w:customStyle="1" w:styleId="9">
    <w:name w:val="页脚 字符"/>
    <w:basedOn w:val="7"/>
    <w:link w:val="2"/>
    <w:qFormat/>
    <w:uiPriority w:val="99"/>
    <w:rPr>
      <w:sz w:val="18"/>
      <w:szCs w:val="18"/>
    </w:rPr>
  </w:style>
  <w:style w:type="paragraph" w:customStyle="1" w:styleId="10">
    <w:name w:val="插图标题"/>
    <w:next w:val="1"/>
    <w:link w:val="11"/>
    <w:uiPriority w:val="0"/>
    <w:pPr>
      <w:jc w:val="center"/>
    </w:pPr>
    <w:rPr>
      <w:rFonts w:ascii="Times New Roman" w:hAnsi="Times New Roman" w:eastAsia="宋体" w:cs="Times New Roman"/>
      <w:kern w:val="2"/>
      <w:sz w:val="16"/>
      <w:szCs w:val="21"/>
      <w:lang w:val="en-US" w:eastAsia="zh-CN" w:bidi="ar-SA"/>
    </w:rPr>
  </w:style>
  <w:style w:type="character" w:customStyle="1" w:styleId="11">
    <w:name w:val="插图标题 Char"/>
    <w:basedOn w:val="7"/>
    <w:link w:val="10"/>
    <w:qFormat/>
    <w:uiPriority w:val="0"/>
    <w:rPr>
      <w:rFonts w:ascii="Times New Roman" w:hAnsi="Times New Roman" w:eastAsia="宋体" w:cs="Times New Roman"/>
      <w:sz w:val="16"/>
      <w:szCs w:val="21"/>
    </w:rPr>
  </w:style>
  <w:style w:type="paragraph" w:customStyle="1" w:styleId="12">
    <w:name w:val="TEXT"/>
    <w:basedOn w:val="1"/>
    <w:link w:val="15"/>
    <w:qFormat/>
    <w:uiPriority w:val="0"/>
    <w:pPr>
      <w:spacing w:line="330" w:lineRule="atLeast"/>
    </w:pPr>
    <w:rPr>
      <w:rFonts w:ascii="Times New Roman" w:hAnsi="Times New Roman" w:cs="Times New Roman"/>
      <w:sz w:val="21"/>
      <w:szCs w:val="24"/>
    </w:rPr>
  </w:style>
  <w:style w:type="paragraph" w:customStyle="1" w:styleId="13">
    <w:name w:val="TEXT + 首行缩进:  2 字符"/>
    <w:basedOn w:val="1"/>
    <w:link w:val="16"/>
    <w:uiPriority w:val="0"/>
    <w:pPr>
      <w:spacing w:line="330" w:lineRule="atLeast"/>
      <w:ind w:firstLine="420" w:firstLineChars="200"/>
    </w:pPr>
    <w:rPr>
      <w:rFonts w:ascii="Times New Roman" w:hAnsi="Times New Roman" w:cs="宋体"/>
      <w:sz w:val="21"/>
      <w:szCs w:val="20"/>
    </w:rPr>
  </w:style>
  <w:style w:type="character" w:customStyle="1" w:styleId="14">
    <w:name w:val="语法加重"/>
    <w:basedOn w:val="7"/>
    <w:qFormat/>
    <w:uiPriority w:val="0"/>
    <w:rPr>
      <w:b/>
    </w:rPr>
  </w:style>
  <w:style w:type="character" w:customStyle="1" w:styleId="15">
    <w:name w:val="TEXT Char"/>
    <w:basedOn w:val="7"/>
    <w:link w:val="12"/>
    <w:qFormat/>
    <w:uiPriority w:val="0"/>
    <w:rPr>
      <w:rFonts w:ascii="Times New Roman" w:hAnsi="Times New Roman" w:eastAsia="宋体" w:cs="Times New Roman"/>
      <w:szCs w:val="24"/>
    </w:rPr>
  </w:style>
  <w:style w:type="character" w:customStyle="1" w:styleId="16">
    <w:name w:val="TEXT + 首行缩进:  2 字符 Char"/>
    <w:basedOn w:val="7"/>
    <w:link w:val="13"/>
    <w:qFormat/>
    <w:uiPriority w:val="0"/>
    <w:rPr>
      <w:rFonts w:ascii="Times New Roman" w:hAnsi="Times New Roman" w:eastAsia="宋体"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527DEA-E393-40F6-820F-8153664081A2}">
  <ds:schemaRefs/>
</ds:datastoreItem>
</file>

<file path=docProps/app.xml><?xml version="1.0" encoding="utf-8"?>
<Properties xmlns="http://schemas.openxmlformats.org/officeDocument/2006/extended-properties" xmlns:vt="http://schemas.openxmlformats.org/officeDocument/2006/docPropsVTypes">
  <Template>Normal.dotm</Template>
  <Company>npu</Company>
  <Pages>4</Pages>
  <Words>282</Words>
  <Characters>1610</Characters>
  <Lines>13</Lines>
  <Paragraphs>3</Paragraphs>
  <TotalTime>11</TotalTime>
  <ScaleCrop>false</ScaleCrop>
  <LinksUpToDate>false</LinksUpToDate>
  <CharactersWithSpaces>1889</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2019-12-26T00:43:00Z</dcterms:created>
  <dc:creator>jerryxf</dc:creator>
  <cp:lastModifiedBy>唐文菁</cp:lastModifiedBy>
  <dcterms:modified xsi:type="dcterms:W3CDTF">2023-05-14T07:08:40Z</dcterms:modified>
  <cp:revision>315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