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02142" w14:textId="77777777" w:rsidR="000C5727" w:rsidRDefault="000C5727" w:rsidP="000C5727">
      <w:pPr>
        <w:rPr>
          <w:rFonts w:hint="eastAsia"/>
        </w:rPr>
      </w:pPr>
    </w:p>
    <w:p w14:paraId="6352B089" w14:textId="08BAA0A6" w:rsidR="000C5727" w:rsidRDefault="000C5727" w:rsidP="000C5727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）“英文正式稿”与“DeepSeek风格英文版”对照：</w:t>
      </w:r>
      <w:proofErr w:type="gramStart"/>
      <w:r>
        <w:rPr>
          <w:rFonts w:hint="eastAsia"/>
        </w:rPr>
        <w:t>正式稿更</w:t>
      </w:r>
      <w:proofErr w:type="gramEnd"/>
      <w:r>
        <w:rPr>
          <w:rFonts w:hint="eastAsia"/>
        </w:rPr>
        <w:t>注重学术表达与公平对比条件（protocol、identical settings、controlled overhead），适合论文正文；DeepSeek风格更简洁直接，适合汇报或实验小结。我学到的是，同一数据可以用不同表达方式，但核心元素不能丢：指标变化、消融归因、效率代价。</w:t>
      </w:r>
    </w:p>
    <w:p w14:paraId="12624F6C" w14:textId="4B7954E5" w:rsidR="00CA585C" w:rsidRDefault="000C5727" w:rsidP="000C5727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整体收获：我形成了固定的结果叙述模板——先交代公平设置，再报告关键指标（尤其AP_S），接着用消融解释“增益来自哪里”，最后补充参数/FLOPs/FPS与定性案例。这让我更清楚如何把实验数据转化为“可被理解且可信”的研究结论。</w:t>
      </w:r>
    </w:p>
    <w:sectPr w:rsidR="00CA58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563"/>
    <w:rsid w:val="000C5727"/>
    <w:rsid w:val="003D25BE"/>
    <w:rsid w:val="006E53EC"/>
    <w:rsid w:val="008C3563"/>
    <w:rsid w:val="00CA5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E75F6"/>
  <w15:chartTrackingRefBased/>
  <w15:docId w15:val="{04470B5B-D1E9-4656-8C21-6FA22B8CD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C35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3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35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35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35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356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356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356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356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35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3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3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35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356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C35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35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35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35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35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3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35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35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3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35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35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35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3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35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3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gby@edu.nuc.email</dc:creator>
  <cp:keywords/>
  <dc:description/>
  <cp:lastModifiedBy>gby@edu.nuc.email</cp:lastModifiedBy>
  <cp:revision>2</cp:revision>
  <dcterms:created xsi:type="dcterms:W3CDTF">2026-04-07T08:21:00Z</dcterms:created>
  <dcterms:modified xsi:type="dcterms:W3CDTF">2026-04-07T08:21:00Z</dcterms:modified>
</cp:coreProperties>
</file>