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3E0C63">
      <w:pPr>
        <w:ind w:firstLine="420" w:firstLineChars="200"/>
        <w:rPr>
          <w:rFonts w:hint="eastAsia"/>
        </w:rPr>
      </w:pPr>
      <w:bookmarkStart w:id="0" w:name="_GoBack"/>
      <w:r>
        <w:rPr>
          <w:rFonts w:hint="eastAsia"/>
        </w:rPr>
        <w:t>We develop YOLO-SOD, a small-object-enhanced variant of YOLOv8. The goal is to improve AP on small instances with minimal loss in speed. The method is built around three edits: backbone detail retention, neck fusion strengthening, and small-object-aware optimization.</w:t>
      </w:r>
    </w:p>
    <w:p w14:paraId="27ECE1DA">
      <w:pPr>
        <w:rPr>
          <w:rFonts w:hint="eastAsia"/>
        </w:rPr>
      </w:pPr>
    </w:p>
    <w:p w14:paraId="172B8246">
      <w:pPr>
        <w:ind w:firstLine="420" w:firstLineChars="200"/>
        <w:rPr>
          <w:rFonts w:hint="eastAsia"/>
        </w:rPr>
      </w:pPr>
      <w:r>
        <w:rPr>
          <w:rFonts w:hint="eastAsia"/>
        </w:rPr>
        <w:t>For the backbone, we keep more shallow features because small objects mostly live in high-resolution layers. A lightweight side branch taps early-stage features and forwards them to later stages through short skip connections. To avoid losing small-object cues during stride-2 operations, we replace part of the downsampling blocks with efficient dilated/depthwise convolutions, increasing receptive field while keeping computation low. These changes aim to preserve textures and edges that vanish in standard downsampling.</w:t>
      </w:r>
    </w:p>
    <w:p w14:paraId="5DDF5BD5">
      <w:pPr>
        <w:rPr>
          <w:rFonts w:hint="eastAsia"/>
        </w:rPr>
      </w:pPr>
    </w:p>
    <w:p w14:paraId="6DF8BB18">
      <w:pPr>
        <w:ind w:firstLine="420" w:firstLineChars="200"/>
        <w:rPr>
          <w:rFonts w:hint="eastAsia"/>
        </w:rPr>
      </w:pPr>
      <w:r>
        <w:rPr>
          <w:rFonts w:hint="eastAsia"/>
        </w:rPr>
        <w:t>For the neck, we revise the PAN/FPN path to enhance cross-level interaction without using heavy BiFPN-like repetition. We add position-sensitive attention (coordinate attention or spatial–channel attention) on fused features so the network can emphasize compact target regions and suppress cluttered background. This is particularly helpful when many small objects overlap or when contrast is low.</w:t>
      </w:r>
    </w:p>
    <w:p w14:paraId="59AF1977">
      <w:pPr>
        <w:rPr>
          <w:rFonts w:hint="eastAsia"/>
        </w:rPr>
      </w:pPr>
    </w:p>
    <w:p w14:paraId="205EDFFF">
      <w:pPr>
        <w:ind w:firstLine="420" w:firstLineChars="200"/>
        <w:rPr>
          <w:rFonts w:hint="eastAsia"/>
        </w:rPr>
      </w:pPr>
      <w:r>
        <w:rPr>
          <w:rFonts w:hint="eastAsia"/>
        </w:rPr>
        <w:t>For training, we make the loss more small-object oriented. We upweight small-object samples in classification and regression, and we modify box regression to be more sensitive for tiny boxes by adding scale-aware terms on center/wh and a stronger penalty when IoU changes are small but pixel errors are large. This reduces missed detections and improves tight localization.</w:t>
      </w:r>
    </w:p>
    <w:p w14:paraId="01B4CE56">
      <w:pPr>
        <w:rPr>
          <w:rFonts w:hint="eastAsia"/>
        </w:rPr>
      </w:pPr>
    </w:p>
    <w:p w14:paraId="70B71A8E">
      <w:pPr>
        <w:ind w:firstLine="420" w:firstLineChars="200"/>
        <w:rPr>
          <w:rFonts w:hint="eastAsia"/>
        </w:rPr>
      </w:pPr>
      <w:r>
        <w:rPr>
          <w:rFonts w:hint="eastAsia"/>
        </w:rPr>
        <w:t>We evaluate on COCO with a focus on AP_S, and extend to VisDrone (dense small objects in aerial views). Optionally, TinyPerson or traffic-sign datasets are used to test extreme small-object and long-range conditions. Metrics include mAP@0.5, mAP@0.5:0.95, AP_S/AP_M/AP_L, recall, FPS, parameters, and FLOPs. We keep the same input size, augmentation, and inference thresholds as the YOLOv8 baseline for fair comparison.</w:t>
      </w:r>
    </w:p>
    <w:p w14:paraId="3D2C262C">
      <w:pPr>
        <w:rPr>
          <w:rFonts w:hint="eastAsia"/>
        </w:rPr>
      </w:pPr>
    </w:p>
    <w:p w14:paraId="38C653E7">
      <w:pPr>
        <w:ind w:firstLine="420" w:firstLineChars="200"/>
      </w:pPr>
      <w:r>
        <w:rPr>
          <w:rFonts w:hint="eastAsia"/>
        </w:rPr>
        <w:t>Ablations add modules one by one (backbone branch → neck+attention → loss reweighting/reg terms) to isolate gains and measure speed impact. Qualitative visualizations (attention maps and typical failure cases) are used to verify that the model focuses more on small-object regions and produces fewer false negatives.</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C5B04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2026-03-30T11:02:55Z</dcterms:created>
  <dc:creator>Administrator</dc:creator>
  <cp:lastModifiedBy>BaiRong</cp:lastModifiedBy>
  <dcterms:modified xsi:type="dcterms:W3CDTF">2026-03-30T11:03:06Z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eyJoZGlkIjoiZmU5MTliMTY1YzRlMDBiOGNiZjE5ZmM4NjRjNDllZjMiLCJ1c2VySWQiOiI4NDA5MjA0NDQifQ==</vt:lpwstr>
  </property>
  <property fmtid="{D5CDD505-2E9C-101B-9397-08002B2CF9AE}" pid="4" name="ICV">
    <vt:lpwstr>68BDE46E3FB4435FAA506914EE944B60_12</vt:lpwstr>
  </property>
</Properties>
</file>