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AE29A">
      <w:pPr>
        <w:ind w:firstLine="420" w:firstLineChars="200"/>
        <w:rPr>
          <w:rFonts w:hint="eastAsia"/>
        </w:rPr>
      </w:pPr>
      <w:bookmarkStart w:id="0" w:name="_GoBack"/>
      <w:r>
        <w:rPr>
          <w:rFonts w:hint="eastAsia"/>
        </w:rPr>
        <w:t>This study takes YOLOv8 as the baseline and proposes a lightweight small-object-oriented framework, namely YOLO-SOD, aiming to improve small object detection while preserving real-time inference. The overall design follows three principles: (1) preserving fine-grained details that are typically lost during downsampling, (2) strengthening cross-scale feature interaction with limited computational overhead, and (3) rebalancing the learning objective to make localization and classification more sensitive to small objects.</w:t>
      </w:r>
    </w:p>
    <w:p w14:paraId="767920C8">
      <w:pPr>
        <w:rPr>
          <w:rFonts w:hint="eastAsia"/>
        </w:rPr>
      </w:pPr>
    </w:p>
    <w:p w14:paraId="0DCBC1BC">
      <w:pPr>
        <w:ind w:firstLine="420" w:firstLineChars="200"/>
        <w:rPr>
          <w:rFonts w:hint="eastAsia"/>
        </w:rPr>
      </w:pPr>
      <w:r>
        <w:rPr>
          <w:rFonts w:hint="eastAsia"/>
        </w:rPr>
        <w:t>From an architectural perspective, YOLO-SOD first modifies the backbone to be more small-object friendly. A shallow-detail preservation branch is introduced to retain high-resolution textures, and key downsampling stages are adjusted with efficient operators (e.g., dilated and/or depthwise separable convolutions) to enlarge the effective receptive field without causing excessive feature dilution. Lightweight cross-layer connections are used to deliver early-stage cues to later fusion stages, improving the continuity of small-object representations.</w:t>
      </w:r>
    </w:p>
    <w:p w14:paraId="30970910">
      <w:pPr>
        <w:rPr>
          <w:rFonts w:hint="eastAsia"/>
        </w:rPr>
      </w:pPr>
    </w:p>
    <w:p w14:paraId="494F777D">
      <w:pPr>
        <w:ind w:firstLine="420" w:firstLineChars="200"/>
        <w:rPr>
          <w:rFonts w:hint="eastAsia"/>
        </w:rPr>
      </w:pPr>
      <w:r>
        <w:rPr>
          <w:rFonts w:hint="eastAsia"/>
        </w:rPr>
        <w:t>Next, the neck is redesigned with an efficiency-aware multi-scale fusion strategy. Instead of simply extending feature pyramids, YOLO-SOD refines the PAN/FPN fusion path and integrates position-sensitive attention (e.g., coordinate attention or spatial–channel joint attention) to upweight small-object regions and suppress background noise. This design targets the common weakness of local-only fusion by enhancing interactions across levels while keeping parameter and FLOPs growth modest.</w:t>
      </w:r>
    </w:p>
    <w:p w14:paraId="0E054B82">
      <w:pPr>
        <w:rPr>
          <w:rFonts w:hint="eastAsia"/>
        </w:rPr>
      </w:pPr>
    </w:p>
    <w:p w14:paraId="7E7EB2D4">
      <w:pPr>
        <w:ind w:firstLine="420" w:firstLineChars="200"/>
        <w:rPr>
          <w:rFonts w:hint="eastAsia"/>
        </w:rPr>
      </w:pPr>
      <w:r>
        <w:rPr>
          <w:rFonts w:hint="eastAsia"/>
        </w:rPr>
        <w:t>Finally, the training objective is adapted to prioritize small objects. A small-object reweighting scheme is applied to increase the contribution of small instances during optimization. In addition, the box regression objective is augmented with scale/corner-sensitive constraints (beyond standard IoU-based losses) so that minor deviations on small boxes are penalized more effectively, improving localization stability and reducing false negatives.</w:t>
      </w:r>
    </w:p>
    <w:p w14:paraId="22A5C1A4">
      <w:pPr>
        <w:rPr>
          <w:rFonts w:hint="eastAsia"/>
        </w:rPr>
      </w:pPr>
    </w:p>
    <w:p w14:paraId="3DFB8E7B">
      <w:pPr>
        <w:ind w:firstLine="420" w:firstLineChars="200"/>
        <w:rPr>
          <w:rFonts w:hint="eastAsia"/>
        </w:rPr>
      </w:pPr>
      <w:r>
        <w:rPr>
          <w:rFonts w:hint="eastAsia"/>
        </w:rPr>
        <w:t>Experiments are conducted on public benchmarks and scenario datasets with abundant small objects. COCO is used as the primary benchmark, where AP_S is treated as a key indicator. VisDrone is employed to validate generalization in drone-view scenes, and optional datasets such as TinyPerson or traffic sign benchmarks can be used to reflect crowded and long-range small-object cases. Evaluation metrics include mAP@0.5, mAP@0.5:0.95, AP_S/AP_M/AP_L, recall, FPS, and model complexity (parameters and FLOPs). All comparisons follow identical input resolution and inference settings to ensure fairness.</w:t>
      </w:r>
    </w:p>
    <w:p w14:paraId="5F665E75">
      <w:pPr>
        <w:rPr>
          <w:rFonts w:hint="eastAsia"/>
        </w:rPr>
      </w:pPr>
    </w:p>
    <w:p w14:paraId="4EC83545">
      <w:pPr>
        <w:ind w:firstLine="420" w:firstLineChars="200"/>
      </w:pPr>
      <w:r>
        <w:rPr>
          <w:rFonts w:hint="eastAsia"/>
        </w:rPr>
        <w:t>Ablation studies are performed to quantify the contribution of each component by progressively enabling the backbone preservation branch, the neck fusion redesign with attention, and the small-object-aware objective. In addition, qualitative analyses (e.g., attention/activation visualization and failure-case inspection) are used to explain changes in model focus and error patterns. Overall effectiveness is assessed jointly from accuracy gains, latency overhead, and resource costs, providing evidence for practical deployment.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D70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2026-03-30T11:01:39Z</dcterms:created>
  <dc:creator>Administrator</dc:creator>
  <cp:lastModifiedBy>BaiRong</cp:lastModifiedBy>
  <dcterms:modified xsi:type="dcterms:W3CDTF">2026-03-30T11:02:07Z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857B04499AA0432489831F16473C4307_12</vt:lpwstr>
  </property>
</Properties>
</file>