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97FE6" w14:textId="041BF205" w:rsidR="002472BC" w:rsidRDefault="002472BC" w:rsidP="002472BC">
      <w:pPr>
        <w:spacing w:line="360" w:lineRule="auto"/>
        <w:rPr>
          <w:rFonts w:asciiTheme="majorEastAsia" w:eastAsiaTheme="majorEastAsia" w:hAnsiTheme="majorEastAsia" w:hint="eastAsia"/>
          <w:color w:val="FF6600"/>
          <w:sz w:val="24"/>
          <w:szCs w:val="24"/>
        </w:rPr>
      </w:pPr>
      <w:r>
        <w:rPr>
          <w:rFonts w:asciiTheme="majorEastAsia" w:eastAsiaTheme="majorEastAsia" w:hAnsiTheme="majorEastAsia" w:hint="eastAsia"/>
          <w:color w:val="FF6600"/>
          <w:sz w:val="24"/>
          <w:szCs w:val="24"/>
        </w:rPr>
        <w:t>话题分类：</w:t>
      </w:r>
      <w:r>
        <w:rPr>
          <w:rFonts w:asciiTheme="majorEastAsia" w:eastAsiaTheme="majorEastAsia" w:hAnsiTheme="majorEastAsia" w:hint="eastAsia"/>
          <w:color w:val="FF6600"/>
          <w:sz w:val="24"/>
          <w:szCs w:val="24"/>
        </w:rPr>
        <w:t>计算机视觉-目标检测</w:t>
      </w:r>
      <w:r w:rsidR="00891FF4">
        <w:rPr>
          <w:rFonts w:asciiTheme="majorEastAsia" w:eastAsiaTheme="majorEastAsia" w:hAnsiTheme="majorEastAsia" w:hint="eastAsia"/>
          <w:color w:val="FF6600"/>
          <w:sz w:val="24"/>
          <w:szCs w:val="24"/>
        </w:rPr>
        <w:t xml:space="preserve"> YOLO算法针对小目标优化</w:t>
      </w:r>
    </w:p>
    <w:p w14:paraId="11EA1763" w14:textId="77777777" w:rsidR="002472BC" w:rsidRDefault="002472BC" w:rsidP="002472BC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2472BC">
        <w:rPr>
          <w:rFonts w:asciiTheme="majorEastAsia" w:eastAsiaTheme="majorEastAsia" w:hAnsiTheme="majorEastAsia"/>
          <w:sz w:val="24"/>
          <w:szCs w:val="24"/>
        </w:rPr>
        <w:t>作者：H.-C. Hsiang et al</w:t>
      </w:r>
    </w:p>
    <w:p w14:paraId="2A4E57B7" w14:textId="77777777" w:rsidR="002472BC" w:rsidRDefault="002472BC" w:rsidP="002472BC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2472BC">
        <w:rPr>
          <w:rFonts w:asciiTheme="majorEastAsia" w:eastAsiaTheme="majorEastAsia" w:hAnsiTheme="majorEastAsia"/>
          <w:sz w:val="24"/>
          <w:szCs w:val="24"/>
        </w:rPr>
        <w:t xml:space="preserve">日期：2025 </w:t>
      </w:r>
    </w:p>
    <w:p w14:paraId="35D59648" w14:textId="77777777" w:rsidR="002472BC" w:rsidRDefault="002472BC" w:rsidP="002472BC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2472BC">
        <w:rPr>
          <w:rFonts w:asciiTheme="majorEastAsia" w:eastAsiaTheme="majorEastAsia" w:hAnsiTheme="majorEastAsia"/>
          <w:sz w:val="24"/>
          <w:szCs w:val="24"/>
        </w:rPr>
        <w:t>题目：AGM-YOLO: A Generalizable Plug-and-Play Attention Module</w:t>
      </w:r>
    </w:p>
    <w:p w14:paraId="4A6045AD" w14:textId="77777777" w:rsidR="002472BC" w:rsidRDefault="002472BC" w:rsidP="002472BC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2472BC">
        <w:rPr>
          <w:rFonts w:asciiTheme="majorEastAsia" w:eastAsiaTheme="majorEastAsia" w:hAnsiTheme="majorEastAsia"/>
          <w:sz w:val="24"/>
          <w:szCs w:val="24"/>
        </w:rPr>
        <w:t>出版信息详情：IEEE Access, Volume 13, 2025</w:t>
      </w:r>
    </w:p>
    <w:p w14:paraId="0995BD49" w14:textId="632F85A3" w:rsidR="002472BC" w:rsidRDefault="002472BC" w:rsidP="002472BC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DOI：</w:t>
      </w:r>
      <w:r w:rsidRPr="002472BC">
        <w:rPr>
          <w:rFonts w:asciiTheme="majorEastAsia" w:eastAsiaTheme="majorEastAsia" w:hAnsiTheme="majorEastAsia"/>
          <w:b/>
          <w:bCs/>
          <w:sz w:val="24"/>
          <w:szCs w:val="24"/>
        </w:rPr>
        <w:t> </w:t>
      </w:r>
      <w:hyperlink r:id="rId5" w:tgtFrame="_blank" w:history="1">
        <w:r w:rsidRPr="002472BC">
          <w:rPr>
            <w:rStyle w:val="ae"/>
            <w:rFonts w:asciiTheme="majorEastAsia" w:eastAsiaTheme="majorEastAsia" w:hAnsiTheme="majorEastAsia"/>
            <w:sz w:val="24"/>
            <w:szCs w:val="24"/>
          </w:rPr>
          <w:t>10.1109/ACCESS.2025.3628050</w:t>
        </w:r>
      </w:hyperlink>
    </w:p>
    <w:p w14:paraId="583A8657" w14:textId="2BCA7D8D" w:rsidR="002472BC" w:rsidRDefault="00A64CAE" w:rsidP="002472BC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  </w:t>
      </w:r>
      <w:r w:rsidR="002472BC" w:rsidRPr="002472BC">
        <w:rPr>
          <w:rFonts w:asciiTheme="majorEastAsia" w:eastAsiaTheme="majorEastAsia" w:hAnsiTheme="majorEastAsia"/>
          <w:sz w:val="24"/>
          <w:szCs w:val="24"/>
        </w:rPr>
        <w:t xml:space="preserve">我为什么要读这本书？ </w:t>
      </w:r>
    </w:p>
    <w:p w14:paraId="4ABF2A32" w14:textId="5E8FD64F" w:rsidR="002472BC" w:rsidRPr="002472BC" w:rsidRDefault="002472BC" w:rsidP="002472BC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Pr="002472BC">
        <w:rPr>
          <w:rFonts w:asciiTheme="majorEastAsia" w:eastAsiaTheme="majorEastAsia" w:hAnsiTheme="majorEastAsia" w:hint="eastAsia"/>
          <w:sz w:val="24"/>
          <w:szCs w:val="24"/>
        </w:rPr>
        <w:t>文章讲述了</w:t>
      </w:r>
      <w:r w:rsidRPr="002472BC">
        <w:rPr>
          <w:rFonts w:asciiTheme="majorEastAsia" w:eastAsiaTheme="majorEastAsia" w:hAnsiTheme="majorEastAsia"/>
          <w:sz w:val="24"/>
          <w:szCs w:val="24"/>
        </w:rPr>
        <w:t>“医学影像中的微小目标/病灶检测”</w:t>
      </w:r>
      <w:r w:rsidRPr="002472BC">
        <w:rPr>
          <w:rFonts w:asciiTheme="majorEastAsia" w:eastAsiaTheme="majorEastAsia" w:hAnsiTheme="majorEastAsia" w:hint="eastAsia"/>
          <w:sz w:val="24"/>
          <w:szCs w:val="24"/>
        </w:rPr>
        <w:t>(</w:t>
      </w:r>
      <w:r w:rsidRPr="002472BC">
        <w:rPr>
          <w:rFonts w:asciiTheme="majorEastAsia" w:eastAsiaTheme="majorEastAsia" w:hAnsiTheme="majorEastAsia"/>
          <w:sz w:val="24"/>
          <w:szCs w:val="24"/>
        </w:rPr>
        <w:t>例如肺结节等</w:t>
      </w:r>
      <w:r w:rsidRPr="002472BC">
        <w:rPr>
          <w:rFonts w:asciiTheme="majorEastAsia" w:eastAsiaTheme="majorEastAsia" w:hAnsiTheme="majorEastAsia" w:hint="eastAsia"/>
          <w:sz w:val="24"/>
          <w:szCs w:val="24"/>
        </w:rPr>
        <w:t>)</w:t>
      </w:r>
      <w:r w:rsidRPr="002472BC">
        <w:rPr>
          <w:rFonts w:asciiTheme="majorEastAsia" w:eastAsiaTheme="majorEastAsia" w:hAnsiTheme="majorEastAsia"/>
          <w:sz w:val="24"/>
          <w:szCs w:val="24"/>
        </w:rPr>
        <w:t>以及“如何用注意力机制提升小目标检测效果与泛化能力”，这篇论文的 INTRO 明确指出该任务在临床辅助诊断（CAD）中重要、</w:t>
      </w:r>
      <w:proofErr w:type="gramStart"/>
      <w:r w:rsidRPr="002472BC">
        <w:rPr>
          <w:rFonts w:asciiTheme="majorEastAsia" w:eastAsiaTheme="majorEastAsia" w:hAnsiTheme="majorEastAsia"/>
          <w:sz w:val="24"/>
          <w:szCs w:val="24"/>
        </w:rPr>
        <w:t>且传统</w:t>
      </w:r>
      <w:proofErr w:type="gramEnd"/>
      <w:r w:rsidRPr="002472BC">
        <w:rPr>
          <w:rFonts w:asciiTheme="majorEastAsia" w:eastAsiaTheme="majorEastAsia" w:hAnsiTheme="majorEastAsia"/>
          <w:sz w:val="24"/>
          <w:szCs w:val="24"/>
        </w:rPr>
        <w:t>通用检测器在该领域存在精度不足与漏检率高的问题</w:t>
      </w:r>
      <w:r w:rsidRPr="002472BC">
        <w:rPr>
          <w:rFonts w:asciiTheme="majorEastAsia" w:eastAsiaTheme="majorEastAsia" w:hAnsiTheme="majorEastAsia" w:hint="eastAsia"/>
          <w:sz w:val="24"/>
          <w:szCs w:val="24"/>
        </w:rPr>
        <w:t>,是YOLO+注意力机制的优化</w:t>
      </w:r>
    </w:p>
    <w:p w14:paraId="3CEDA9C1" w14:textId="52CD16F4" w:rsidR="002472BC" w:rsidRDefault="002472BC" w:rsidP="002472BC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二. </w:t>
      </w:r>
      <w:r w:rsidR="00A64CAE">
        <w:rPr>
          <w:rFonts w:asciiTheme="majorEastAsia" w:eastAsiaTheme="majorEastAsia" w:hAnsiTheme="majorEastAsia" w:hint="eastAsia"/>
          <w:sz w:val="24"/>
          <w:szCs w:val="24"/>
        </w:rPr>
        <w:t xml:space="preserve">  </w:t>
      </w:r>
      <w:r w:rsidRPr="002472BC">
        <w:rPr>
          <w:rFonts w:asciiTheme="majorEastAsia" w:eastAsiaTheme="majorEastAsia" w:hAnsiTheme="majorEastAsia"/>
          <w:sz w:val="24"/>
          <w:szCs w:val="24"/>
        </w:rPr>
        <w:t>作者的目的</w:t>
      </w:r>
    </w:p>
    <w:p w14:paraId="1325D55A" w14:textId="77777777" w:rsidR="00A64CAE" w:rsidRDefault="002472BC" w:rsidP="00A64CAE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Pr="002472BC">
        <w:rPr>
          <w:rFonts w:asciiTheme="majorEastAsia" w:eastAsiaTheme="majorEastAsia" w:hAnsiTheme="majorEastAsia"/>
          <w:sz w:val="24"/>
          <w:szCs w:val="24"/>
        </w:rPr>
        <w:t>针对医学影像等场景中的“微小目标检测”瓶颈，提出一个可插拔（plug-and-play）的注意力模块 AGM-YOLO，通过把计算高效的多头自注意力（用于全局上下文）、轻量通道注意力（用于特征精炼）以及多尺度特征精炼/融合结构结合起来，从而系统性提升微小目标检测的准确性、鲁棒性与跨域泛化能力</w:t>
      </w:r>
      <w:r w:rsidRPr="002472BC">
        <w:rPr>
          <w:rFonts w:asciiTheme="majorEastAsia" w:eastAsiaTheme="majorEastAsia" w:hAnsiTheme="majorEastAsia" w:hint="eastAsia"/>
          <w:sz w:val="24"/>
          <w:szCs w:val="24"/>
        </w:rPr>
        <w:t>？</w:t>
      </w:r>
    </w:p>
    <w:p w14:paraId="4E615973" w14:textId="7131680E" w:rsidR="002472BC" w:rsidRPr="00A64CAE" w:rsidRDefault="002472BC" w:rsidP="00A64CAE">
      <w:pPr>
        <w:pStyle w:val="a9"/>
        <w:numPr>
          <w:ilvl w:val="0"/>
          <w:numId w:val="3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作者谈论的话题与我</w:t>
      </w:r>
      <w:r w:rsidR="00A64CAE" w:rsidRPr="00A64CAE">
        <w:rPr>
          <w:rFonts w:asciiTheme="majorEastAsia" w:eastAsiaTheme="majorEastAsia" w:hAnsiTheme="majorEastAsia" w:hint="eastAsia"/>
          <w:sz w:val="24"/>
          <w:szCs w:val="24"/>
        </w:rPr>
        <w:t>的方向之间的关系</w:t>
      </w:r>
    </w:p>
    <w:p w14:paraId="2F551C62" w14:textId="77777777" w:rsidR="00A64CAE" w:rsidRDefault="00A64CAE" w:rsidP="00A64CAE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>
        <w:rPr>
          <w:rFonts w:asciiTheme="majorEastAsia" w:eastAsiaTheme="majorEastAsia" w:hAnsiTheme="majorEastAsia" w:hint="eastAsia"/>
          <w:sz w:val="24"/>
          <w:szCs w:val="24"/>
        </w:rPr>
        <w:t>我的目的是找YOLO的不足与创新点，这篇文章的I</w:t>
      </w:r>
      <w:r w:rsidRPr="00A64CAE">
        <w:rPr>
          <w:rFonts w:asciiTheme="majorEastAsia" w:eastAsiaTheme="majorEastAsia" w:hAnsiTheme="majorEastAsia"/>
          <w:sz w:val="24"/>
          <w:szCs w:val="24"/>
        </w:rPr>
        <w:t>NTRODUCTION改进 YOLO 以更好检测微小目标/病灶</w:t>
      </w:r>
      <w:r>
        <w:rPr>
          <w:rFonts w:asciiTheme="majorEastAsia" w:eastAsiaTheme="majorEastAsia" w:hAnsiTheme="majorEastAsia" w:hint="eastAsia"/>
          <w:sz w:val="24"/>
          <w:szCs w:val="24"/>
        </w:rPr>
        <w:t>，</w:t>
      </w:r>
      <w:r>
        <w:rPr>
          <w:rFonts w:asciiTheme="majorEastAsia" w:eastAsiaTheme="majorEastAsia" w:hAnsiTheme="majorEastAsia" w:hint="eastAsia"/>
          <w:sz w:val="24"/>
          <w:szCs w:val="24"/>
        </w:rPr>
        <w:t>所以我找到了YOLO针对小目标/微小目标的识别不足，可以通过添加</w:t>
      </w:r>
      <w:r w:rsidRPr="00A64CAE">
        <w:rPr>
          <w:rFonts w:asciiTheme="majorEastAsia" w:eastAsiaTheme="majorEastAsia" w:hAnsiTheme="majorEastAsia"/>
          <w:sz w:val="24"/>
          <w:szCs w:val="24"/>
        </w:rPr>
        <w:t>自注意力与通道注意力同时获得全局上下文与局部细节</w:t>
      </w:r>
      <w:r>
        <w:rPr>
          <w:rFonts w:asciiTheme="majorEastAsia" w:eastAsiaTheme="majorEastAsia" w:hAnsiTheme="majorEastAsia" w:hint="eastAsia"/>
          <w:sz w:val="24"/>
          <w:szCs w:val="24"/>
        </w:rPr>
        <w:t>。</w:t>
      </w:r>
    </w:p>
    <w:p w14:paraId="0048F5D7" w14:textId="77777777" w:rsidR="00A64CAE" w:rsidRDefault="002472BC" w:rsidP="00A64CAE">
      <w:pPr>
        <w:pStyle w:val="a9"/>
        <w:numPr>
          <w:ilvl w:val="0"/>
          <w:numId w:val="3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作者的论证有说服力</w:t>
      </w:r>
    </w:p>
    <w:p w14:paraId="5B60FAAC" w14:textId="246EB30B" w:rsidR="00A64CAE" w:rsidRPr="00A64CAE" w:rsidRDefault="00A64CAE" w:rsidP="00A64CAE">
      <w:pPr>
        <w:pStyle w:val="a9"/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/>
          <w:sz w:val="24"/>
          <w:szCs w:val="24"/>
        </w:rPr>
        <w:t xml:space="preserve">从 </w:t>
      </w:r>
      <w:r>
        <w:rPr>
          <w:rFonts w:asciiTheme="majorEastAsia" w:eastAsiaTheme="majorEastAsia" w:hAnsiTheme="majorEastAsia" w:hint="eastAsia"/>
          <w:sz w:val="24"/>
          <w:szCs w:val="24"/>
        </w:rPr>
        <w:t>I</w:t>
      </w:r>
      <w:r w:rsidRPr="00A64CAE">
        <w:rPr>
          <w:rFonts w:asciiTheme="majorEastAsia" w:eastAsiaTheme="majorEastAsia" w:hAnsiTheme="majorEastAsia"/>
          <w:sz w:val="24"/>
          <w:szCs w:val="24"/>
        </w:rPr>
        <w:t>NTRODUCTION看</w:t>
      </w:r>
      <w:r>
        <w:rPr>
          <w:rFonts w:asciiTheme="majorEastAsia" w:eastAsiaTheme="majorEastAsia" w:hAnsiTheme="majorEastAsia" w:hint="eastAsia"/>
          <w:sz w:val="24"/>
          <w:szCs w:val="24"/>
        </w:rPr>
        <w:t>，</w:t>
      </w:r>
      <w:r w:rsidRPr="00A64CAE">
        <w:rPr>
          <w:rFonts w:asciiTheme="majorEastAsia" w:eastAsiaTheme="majorEastAsia" w:hAnsiTheme="majorEastAsia"/>
          <w:sz w:val="24"/>
          <w:szCs w:val="24"/>
        </w:rPr>
        <w:t>作者的论证</w:t>
      </w:r>
      <w:r>
        <w:rPr>
          <w:rFonts w:asciiTheme="majorEastAsia" w:eastAsiaTheme="majorEastAsia" w:hAnsiTheme="majorEastAsia" w:hint="eastAsia"/>
          <w:sz w:val="24"/>
          <w:szCs w:val="24"/>
        </w:rPr>
        <w:t>是有说服力的。作者论述顺序为：</w:t>
      </w:r>
    </w:p>
    <w:p w14:paraId="327D856E" w14:textId="263C84FA" w:rsidR="00A64CAE" w:rsidRPr="00A64CAE" w:rsidRDefault="00A64CAE" w:rsidP="00A64CAE">
      <w:pPr>
        <w:pStyle w:val="a9"/>
        <w:numPr>
          <w:ilvl w:val="0"/>
          <w:numId w:val="4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A64CAE">
        <w:rPr>
          <w:rFonts w:asciiTheme="majorEastAsia" w:eastAsiaTheme="majorEastAsia" w:hAnsiTheme="majorEastAsia"/>
          <w:sz w:val="24"/>
          <w:szCs w:val="24"/>
        </w:rPr>
        <w:lastRenderedPageBreak/>
        <w:t>指出医学影像微小目标检测对早期诊断关键；</w:t>
      </w:r>
    </w:p>
    <w:p w14:paraId="1474AAD9" w14:textId="77777777" w:rsidR="00A64CAE" w:rsidRPr="00A64CAE" w:rsidRDefault="00A64CAE" w:rsidP="00A64CAE">
      <w:pPr>
        <w:numPr>
          <w:ilvl w:val="0"/>
          <w:numId w:val="4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A64CAE">
        <w:rPr>
          <w:rFonts w:asciiTheme="majorEastAsia" w:eastAsiaTheme="majorEastAsia" w:hAnsiTheme="majorEastAsia"/>
          <w:sz w:val="24"/>
          <w:szCs w:val="24"/>
        </w:rPr>
        <w:t>解释小目标带来的典型困难（小尺寸、边界不清、低信噪比、复杂背景）导致通用检测器精度不足/漏检高；</w:t>
      </w:r>
    </w:p>
    <w:p w14:paraId="5ACB1129" w14:textId="77777777" w:rsidR="00A64CAE" w:rsidRPr="00A64CAE" w:rsidRDefault="00A64CAE" w:rsidP="00A64CAE">
      <w:pPr>
        <w:numPr>
          <w:ilvl w:val="0"/>
          <w:numId w:val="4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A64CAE">
        <w:rPr>
          <w:rFonts w:asciiTheme="majorEastAsia" w:eastAsiaTheme="majorEastAsia" w:hAnsiTheme="majorEastAsia"/>
          <w:sz w:val="24"/>
          <w:szCs w:val="24"/>
        </w:rPr>
        <w:t>总结既有注意力路线的局限：自注意力在高分辨率图像上计算代价大；通道注意力可能忽略精细空间信息；</w:t>
      </w:r>
    </w:p>
    <w:p w14:paraId="7116CD9C" w14:textId="5B0ECBAC" w:rsidR="00A64CAE" w:rsidRPr="00A64CAE" w:rsidRDefault="00A64CAE" w:rsidP="00A64CAE">
      <w:pPr>
        <w:numPr>
          <w:ilvl w:val="0"/>
          <w:numId w:val="4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/>
          <w:sz w:val="24"/>
          <w:szCs w:val="24"/>
        </w:rPr>
        <w:t xml:space="preserve">给出解决思路：将高效多头自注意力 + 轻量通道注意力 + 多尺度特征精炼/融合结构进行协同设计，并宣称在多个公共数据集上优于 SOTA。 </w:t>
      </w:r>
    </w:p>
    <w:p w14:paraId="540DB707" w14:textId="4F0B19A0" w:rsidR="002472BC" w:rsidRPr="00A64CAE" w:rsidRDefault="002472BC" w:rsidP="00A64CAE">
      <w:pPr>
        <w:pStyle w:val="a9"/>
        <w:numPr>
          <w:ilvl w:val="0"/>
          <w:numId w:val="3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你能利用这本书做什么</w:t>
      </w:r>
    </w:p>
    <w:p w14:paraId="580EE8F0" w14:textId="29F1D863" w:rsidR="00A64CAE" w:rsidRPr="00A64CAE" w:rsidRDefault="00A64CAE" w:rsidP="00A64CAE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Pr="00A64CAE">
        <w:rPr>
          <w:rFonts w:asciiTheme="majorEastAsia" w:eastAsiaTheme="majorEastAsia" w:hAnsiTheme="majorEastAsia"/>
          <w:sz w:val="24"/>
          <w:szCs w:val="24"/>
        </w:rPr>
        <w:t>将“全局上下文建模（自注意力）+ 通道选择性增强（通道注意力）+ 多尺度特征精炼/融合（neck 设计）”作为一个统一、可插拔模块的设计范式参考</w:t>
      </w:r>
    </w:p>
    <w:p w14:paraId="2D336295" w14:textId="77777777" w:rsidR="002472BC" w:rsidRDefault="002472BC" w:rsidP="002472BC">
      <w:pPr>
        <w:pStyle w:val="a9"/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2759BC35" w14:textId="77777777" w:rsidR="002472BC" w:rsidRDefault="002472BC" w:rsidP="002472BC">
      <w:pPr>
        <w:pStyle w:val="a9"/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154EC607" w14:textId="16828844" w:rsidR="000A539F" w:rsidRDefault="002472BC" w:rsidP="002472BC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代码：</w:t>
      </w:r>
      <w:r w:rsidR="000A539F">
        <w:rPr>
          <w:rFonts w:asciiTheme="majorEastAsia" w:eastAsiaTheme="majorEastAsia" w:hAnsiTheme="majorEastAsia" w:hint="eastAsia"/>
          <w:sz w:val="24"/>
          <w:szCs w:val="24"/>
        </w:rPr>
        <w:t>2</w:t>
      </w:r>
    </w:p>
    <w:p w14:paraId="6CCDB5C2" w14:textId="0A0FAD93" w:rsidR="002472BC" w:rsidRDefault="002472BC" w:rsidP="000A539F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1=回到书中做详细分析；2=重要的概括性文章；3=不太重要；4=不相关。</w:t>
      </w:r>
    </w:p>
    <w:p w14:paraId="0A714350" w14:textId="77777777" w:rsidR="002472BC" w:rsidRPr="008D20E0" w:rsidRDefault="002472BC" w:rsidP="002472BC">
      <w:pPr>
        <w:rPr>
          <w:rFonts w:asciiTheme="majorEastAsia" w:eastAsiaTheme="majorEastAsia" w:hAnsiTheme="majorEastAsia"/>
          <w:sz w:val="24"/>
          <w:szCs w:val="24"/>
        </w:rPr>
      </w:pPr>
      <w:r w:rsidRPr="008D20E0">
        <w:rPr>
          <w:rFonts w:asciiTheme="majorEastAsia" w:eastAsiaTheme="majorEastAsia" w:hAnsiTheme="majorEastAsia" w:hint="eastAsia"/>
          <w:sz w:val="24"/>
          <w:szCs w:val="24"/>
        </w:rPr>
        <w:t>1=Introduction；2=theory；3= methodology；4=implications；5=analysis</w:t>
      </w:r>
    </w:p>
    <w:p w14:paraId="4D158138" w14:textId="49E7258E" w:rsidR="002472BC" w:rsidRPr="008D20E0" w:rsidRDefault="002472BC" w:rsidP="002472BC">
      <w:pPr>
        <w:rPr>
          <w:rFonts w:asciiTheme="majorEastAsia" w:eastAsiaTheme="majorEastAsia" w:hAnsiTheme="majorEastAsia"/>
          <w:sz w:val="24"/>
          <w:szCs w:val="24"/>
        </w:rPr>
      </w:pPr>
    </w:p>
    <w:p w14:paraId="4DD1C14E" w14:textId="4FC1EDBA" w:rsidR="008D20E0" w:rsidRDefault="008D20E0" w:rsidP="002472BC">
      <w:pPr>
        <w:rPr>
          <w:rFonts w:asciiTheme="majorEastAsia" w:eastAsiaTheme="majorEastAsia" w:hAnsiTheme="majorEastAsia"/>
          <w:sz w:val="24"/>
          <w:szCs w:val="24"/>
        </w:rPr>
      </w:pPr>
    </w:p>
    <w:p w14:paraId="21AB428D" w14:textId="77777777" w:rsidR="008D20E0" w:rsidRDefault="008D20E0" w:rsidP="002472BC">
      <w:pPr>
        <w:rPr>
          <w:rFonts w:asciiTheme="majorEastAsia" w:eastAsiaTheme="majorEastAsia" w:hAnsiTheme="majorEastAsia"/>
          <w:sz w:val="24"/>
          <w:szCs w:val="24"/>
        </w:rPr>
      </w:pPr>
    </w:p>
    <w:p w14:paraId="1E4D5ED3" w14:textId="77777777" w:rsidR="008D20E0" w:rsidRDefault="008D20E0" w:rsidP="002472BC">
      <w:pPr>
        <w:rPr>
          <w:rFonts w:asciiTheme="majorEastAsia" w:eastAsiaTheme="majorEastAsia" w:hAnsiTheme="majorEastAsia"/>
          <w:sz w:val="24"/>
          <w:szCs w:val="24"/>
        </w:rPr>
      </w:pPr>
    </w:p>
    <w:p w14:paraId="1AEF2AFB" w14:textId="77777777" w:rsidR="008D20E0" w:rsidRDefault="008D20E0" w:rsidP="002472BC">
      <w:pPr>
        <w:rPr>
          <w:rFonts w:asciiTheme="majorEastAsia" w:eastAsiaTheme="majorEastAsia" w:hAnsiTheme="majorEastAsia"/>
          <w:sz w:val="24"/>
          <w:szCs w:val="24"/>
        </w:rPr>
      </w:pPr>
    </w:p>
    <w:p w14:paraId="02D7C668" w14:textId="77777777" w:rsidR="008D20E0" w:rsidRDefault="008D20E0" w:rsidP="002472BC">
      <w:pPr>
        <w:rPr>
          <w:rFonts w:asciiTheme="majorEastAsia" w:eastAsiaTheme="majorEastAsia" w:hAnsiTheme="majorEastAsia"/>
          <w:sz w:val="24"/>
          <w:szCs w:val="24"/>
        </w:rPr>
      </w:pPr>
    </w:p>
    <w:p w14:paraId="68981E7D" w14:textId="77777777" w:rsidR="008D20E0" w:rsidRPr="008D20E0" w:rsidRDefault="008D20E0" w:rsidP="002472BC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327659F9" w14:textId="7D213A2F" w:rsidR="00F62CE5" w:rsidRPr="00F62CE5" w:rsidRDefault="00F62CE5" w:rsidP="002472BC">
      <w:pPr>
        <w:rPr>
          <w:rFonts w:asciiTheme="majorEastAsia" w:eastAsiaTheme="majorEastAsia" w:hAnsiTheme="majorEastAsia" w:hint="eastAsia"/>
          <w:color w:val="EE0000"/>
          <w:sz w:val="24"/>
          <w:szCs w:val="24"/>
        </w:rPr>
      </w:pP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</w:rPr>
        <w:lastRenderedPageBreak/>
        <w:t>I</w:t>
      </w:r>
      <w:r w:rsidRPr="00F62CE5">
        <w:rPr>
          <w:rFonts w:asciiTheme="majorEastAsia" w:eastAsiaTheme="majorEastAsia" w:hAnsiTheme="majorEastAsia"/>
          <w:color w:val="EE0000"/>
          <w:sz w:val="24"/>
          <w:szCs w:val="24"/>
        </w:rPr>
        <w:t>NTRODUCTION</w:t>
      </w: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</w:rPr>
        <w:t xml:space="preserve"> </w:t>
      </w:r>
      <w:r w:rsidRPr="00F62CE5">
        <w:rPr>
          <w:rFonts w:asciiTheme="majorEastAsia" w:eastAsiaTheme="majorEastAsia" w:hAnsiTheme="majorEastAsia"/>
          <w:color w:val="EE0000"/>
          <w:sz w:val="24"/>
          <w:szCs w:val="24"/>
          <w:lang w:val="en"/>
        </w:rPr>
        <w:t>S</w:t>
      </w: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  <w:lang w:val="en"/>
        </w:rPr>
        <w:t>UMMARY</w:t>
      </w:r>
    </w:p>
    <w:p w14:paraId="3C68C73B" w14:textId="7B79CC6A" w:rsidR="008D20E0" w:rsidRDefault="002472BC" w:rsidP="002472BC">
      <w:pPr>
        <w:rPr>
          <w:rFonts w:asciiTheme="majorEastAsia" w:eastAsiaTheme="majorEastAsia" w:hAnsiTheme="major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C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>ontents</w:t>
      </w:r>
      <w:r w:rsidR="008D20E0"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64E689B9" w14:textId="77777777" w:rsidR="00891FF4" w:rsidRPr="008D20E0" w:rsidRDefault="00891FF4" w:rsidP="002472BC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404CF6B2" w14:textId="77777777" w:rsidR="008D20E0" w:rsidRDefault="002472BC" w:rsidP="002472BC">
      <w:pPr>
        <w:rPr>
          <w:rFonts w:asciiTheme="majorEastAsia" w:eastAsiaTheme="majorEastAsia" w:hAnsiTheme="major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R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>esearch questions/purpose</w:t>
      </w:r>
      <w:r w:rsidR="008D20E0"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3DA03170" w14:textId="44E27FC8" w:rsidR="002472BC" w:rsidRPr="008D20E0" w:rsidRDefault="008D20E0" w:rsidP="008D20E0">
      <w:pPr>
        <w:ind w:firstLine="420"/>
        <w:rPr>
          <w:rFonts w:asciiTheme="majorEastAsia" w:eastAsiaTheme="majorEastAsia" w:hAnsiTheme="major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将“全局上下文建模（自注意力）+ 通道选择性增强（通道注意力）+ 多尺度特征精炼/融合（neck 设计）”作为一个统一、可插拔模块的设计范式参考</w:t>
      </w:r>
    </w:p>
    <w:p w14:paraId="45956496" w14:textId="777F6C99" w:rsidR="002472BC" w:rsidRDefault="002472BC" w:rsidP="002472BC">
      <w:pPr>
        <w:rPr>
          <w:rFonts w:asciiTheme="minorHAnsi" w:eastAsiaTheme="minorHAnsi" w:hAnsiTheme="minorHAnsi"/>
          <w:sz w:val="24"/>
          <w:szCs w:val="24"/>
        </w:rPr>
      </w:pPr>
      <w:r w:rsidRPr="008D20E0">
        <w:rPr>
          <w:rFonts w:asciiTheme="minorHAnsi" w:eastAsiaTheme="minorHAnsi" w:hAnsiTheme="minorHAnsi"/>
          <w:sz w:val="24"/>
          <w:szCs w:val="24"/>
        </w:rPr>
        <w:t>I</w:t>
      </w:r>
      <w:r w:rsidRPr="008D20E0">
        <w:rPr>
          <w:rFonts w:asciiTheme="minorHAnsi" w:eastAsiaTheme="minorHAnsi" w:hAnsiTheme="minorHAnsi" w:hint="eastAsia"/>
          <w:sz w:val="24"/>
          <w:szCs w:val="24"/>
        </w:rPr>
        <w:t>nstruments</w:t>
      </w:r>
      <w:r w:rsidR="000216A4">
        <w:rPr>
          <w:rFonts w:asciiTheme="minorHAnsi" w:eastAsiaTheme="minorHAnsi" w:hAnsiTheme="minorHAnsi" w:hint="eastAsia"/>
          <w:sz w:val="24"/>
          <w:szCs w:val="24"/>
        </w:rPr>
        <w:t xml:space="preserve">: </w:t>
      </w:r>
      <w:r w:rsidR="008D20E0" w:rsidRPr="008D20E0">
        <w:rPr>
          <w:rFonts w:asciiTheme="minorHAnsi" w:eastAsiaTheme="minorHAnsi" w:hAnsiTheme="minorHAnsi"/>
          <w:sz w:val="24"/>
          <w:szCs w:val="24"/>
        </w:rPr>
        <w:t>UNA16与 YOLO </w:t>
      </w:r>
    </w:p>
    <w:p w14:paraId="237DD238" w14:textId="77777777" w:rsidR="00891FF4" w:rsidRPr="008D20E0" w:rsidRDefault="00891FF4" w:rsidP="002472BC">
      <w:pPr>
        <w:rPr>
          <w:rFonts w:asciiTheme="minorHAnsi" w:eastAsiaTheme="minorHAnsi" w:hAnsiTheme="minorHAnsi" w:hint="eastAsia"/>
          <w:sz w:val="24"/>
          <w:szCs w:val="24"/>
        </w:rPr>
      </w:pPr>
    </w:p>
    <w:p w14:paraId="067D5FA6" w14:textId="77777777" w:rsidR="00891FF4" w:rsidRDefault="000216A4" w:rsidP="002472BC">
      <w:pPr>
        <w:rPr>
          <w:rFonts w:asciiTheme="majorEastAsia" w:eastAsiaTheme="majorEastAsia" w:hAnsiTheme="majorEastAsia"/>
          <w:sz w:val="24"/>
          <w:szCs w:val="24"/>
        </w:rPr>
      </w:pPr>
      <w:r w:rsidRPr="008D20E0">
        <w:rPr>
          <w:rFonts w:asciiTheme="majorEastAsia" w:eastAsiaTheme="majorEastAsia" w:hAnsiTheme="majorEastAsia" w:hint="eastAsia"/>
          <w:sz w:val="24"/>
          <w:szCs w:val="24"/>
        </w:rPr>
        <w:t>S</w:t>
      </w:r>
      <w:r w:rsidR="002472BC" w:rsidRPr="008D20E0">
        <w:rPr>
          <w:rFonts w:asciiTheme="majorEastAsia" w:eastAsiaTheme="majorEastAsia" w:hAnsiTheme="majorEastAsia" w:hint="eastAsia"/>
          <w:sz w:val="24"/>
          <w:szCs w:val="24"/>
        </w:rPr>
        <w:t>ubjects</w:t>
      </w:r>
      <w:r>
        <w:rPr>
          <w:rFonts w:asciiTheme="majorEastAsia" w:eastAsiaTheme="majorEastAsia" w:hAnsiTheme="majorEastAsia" w:hint="eastAsia"/>
          <w:sz w:val="24"/>
          <w:szCs w:val="24"/>
        </w:rPr>
        <w:t>:</w:t>
      </w:r>
    </w:p>
    <w:p w14:paraId="0F40B29A" w14:textId="2CF67899" w:rsidR="002472BC" w:rsidRPr="008D20E0" w:rsidRDefault="000216A4" w:rsidP="002472BC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51DAE20C" w14:textId="77777777" w:rsidR="000216A4" w:rsidRDefault="002472BC" w:rsidP="002472BC">
      <w:pPr>
        <w:rPr>
          <w:rFonts w:asciiTheme="majorEastAsia" w:eastAsiaTheme="majorEastAsia" w:hAnsiTheme="major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D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ata </w:t>
      </w:r>
      <w:r w:rsidRPr="008D20E0">
        <w:rPr>
          <w:rFonts w:asciiTheme="majorEastAsia" w:eastAsiaTheme="majorEastAsia" w:hAnsiTheme="majorEastAsia"/>
          <w:sz w:val="24"/>
          <w:szCs w:val="24"/>
        </w:rPr>
        <w:t>collection</w:t>
      </w:r>
      <w:r w:rsidR="000216A4"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401064D5" w14:textId="723AB912" w:rsidR="002472BC" w:rsidRDefault="000216A4" w:rsidP="000216A4">
      <w:pPr>
        <w:ind w:firstLine="420"/>
        <w:rPr>
          <w:rFonts w:asciiTheme="majorEastAsia" w:eastAsiaTheme="majorEastAsia" w:hAnsiTheme="majorEastAsia"/>
          <w:sz w:val="24"/>
          <w:szCs w:val="24"/>
        </w:rPr>
      </w:pPr>
      <w:r w:rsidRPr="000216A4">
        <w:rPr>
          <w:rFonts w:asciiTheme="majorEastAsia" w:eastAsiaTheme="majorEastAsia" w:hAnsiTheme="majorEastAsia"/>
          <w:sz w:val="24"/>
          <w:szCs w:val="24"/>
        </w:rPr>
        <w:t>公共数据集、跨 biomedical imaging 与 remote sensing 做实验验证</w:t>
      </w:r>
    </w:p>
    <w:p w14:paraId="161E7258" w14:textId="77777777" w:rsidR="00891FF4" w:rsidRPr="008D20E0" w:rsidRDefault="00891FF4" w:rsidP="000216A4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</w:p>
    <w:p w14:paraId="35DDA7D6" w14:textId="77777777" w:rsidR="000216A4" w:rsidRDefault="002472BC" w:rsidP="002472BC">
      <w:pPr>
        <w:rPr>
          <w:rFonts w:asciiTheme="majorEastAsia" w:eastAsiaTheme="majorEastAsia" w:hAnsiTheme="major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F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>indings</w:t>
      </w:r>
      <w:r w:rsidR="000216A4"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4FF923A2" w14:textId="029F571D" w:rsidR="002472BC" w:rsidRPr="008D20E0" w:rsidRDefault="000216A4" w:rsidP="000216A4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  <w:r w:rsidRPr="000216A4">
        <w:rPr>
          <w:rFonts w:asciiTheme="majorEastAsia" w:eastAsiaTheme="majorEastAsia" w:hAnsiTheme="majorEastAsia"/>
          <w:sz w:val="24"/>
          <w:szCs w:val="24"/>
        </w:rPr>
        <w:t>使用 AGM-YOLO 的模型显著优于多种 SOTA 方法，并展示跨域小目标检测的有效性与更强泛化能力</w:t>
      </w:r>
    </w:p>
    <w:p w14:paraId="23D8D90B" w14:textId="77777777" w:rsidR="002472BC" w:rsidRPr="008D20E0" w:rsidRDefault="002472BC" w:rsidP="002472BC">
      <w:pPr>
        <w:rPr>
          <w:rFonts w:asciiTheme="majorEastAsia" w:eastAsiaTheme="majorEastAsia" w:hAnsiTheme="majorEastAsia"/>
          <w:sz w:val="24"/>
          <w:szCs w:val="24"/>
        </w:rPr>
      </w:pPr>
    </w:p>
    <w:p w14:paraId="510B30A5" w14:textId="77777777" w:rsidR="002472BC" w:rsidRPr="008D20E0" w:rsidRDefault="002472BC" w:rsidP="002472BC">
      <w:pPr>
        <w:rPr>
          <w:rFonts w:asciiTheme="majorEastAsia" w:eastAsiaTheme="majorEastAsia" w:hAnsiTheme="majorEastAsia"/>
          <w:sz w:val="24"/>
          <w:szCs w:val="24"/>
        </w:rPr>
      </w:pPr>
    </w:p>
    <w:p w14:paraId="355605E1" w14:textId="77777777" w:rsidR="002472BC" w:rsidRPr="008D20E0" w:rsidRDefault="002472BC" w:rsidP="002472BC">
      <w:pPr>
        <w:rPr>
          <w:rFonts w:asciiTheme="majorEastAsia" w:eastAsiaTheme="majorEastAsia" w:hAnsiTheme="majorEastAsia"/>
          <w:sz w:val="24"/>
          <w:szCs w:val="24"/>
        </w:rPr>
      </w:pPr>
    </w:p>
    <w:p w14:paraId="402C5DB5" w14:textId="77777777" w:rsidR="002472BC" w:rsidRPr="008D20E0" w:rsidRDefault="002472BC" w:rsidP="002472BC">
      <w:pPr>
        <w:rPr>
          <w:rFonts w:asciiTheme="majorEastAsia" w:eastAsiaTheme="majorEastAsia" w:hAnsiTheme="majorEastAsia"/>
          <w:sz w:val="24"/>
          <w:szCs w:val="24"/>
        </w:rPr>
      </w:pPr>
    </w:p>
    <w:p w14:paraId="0113C1D9" w14:textId="77777777" w:rsidR="002472BC" w:rsidRPr="008D20E0" w:rsidRDefault="002472BC" w:rsidP="002472BC">
      <w:pPr>
        <w:rPr>
          <w:rFonts w:asciiTheme="majorEastAsia" w:eastAsiaTheme="majorEastAsia" w:hAnsiTheme="majorEastAsia"/>
          <w:sz w:val="24"/>
          <w:szCs w:val="24"/>
        </w:rPr>
      </w:pPr>
    </w:p>
    <w:sectPr w:rsidR="002472BC" w:rsidRPr="008D20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336B"/>
    <w:multiLevelType w:val="hybridMultilevel"/>
    <w:tmpl w:val="F39427D0"/>
    <w:lvl w:ilvl="0" w:tplc="6E22B090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115561A"/>
    <w:multiLevelType w:val="multilevel"/>
    <w:tmpl w:val="4DCA9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EastAsia" w:eastAsiaTheme="majorEastAsia" w:hAnsiTheme="majorEastAsia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B3AC8"/>
    <w:multiLevelType w:val="hybridMultilevel"/>
    <w:tmpl w:val="5980EC38"/>
    <w:lvl w:ilvl="0" w:tplc="716E250A">
      <w:start w:val="3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8F23E9A"/>
    <w:multiLevelType w:val="multilevel"/>
    <w:tmpl w:val="78F23E9A"/>
    <w:lvl w:ilvl="0">
      <w:start w:val="1"/>
      <w:numFmt w:val="japaneseCounting"/>
      <w:lvlText w:val="%1、"/>
      <w:lvlJc w:val="left"/>
      <w:pPr>
        <w:ind w:left="132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num w:numId="1" w16cid:durableId="2098869092">
    <w:abstractNumId w:val="3"/>
  </w:num>
  <w:num w:numId="2" w16cid:durableId="1856455735">
    <w:abstractNumId w:val="0"/>
  </w:num>
  <w:num w:numId="3" w16cid:durableId="27262986">
    <w:abstractNumId w:val="2"/>
  </w:num>
  <w:num w:numId="4" w16cid:durableId="1763989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92"/>
    <w:rsid w:val="000216A4"/>
    <w:rsid w:val="000A539F"/>
    <w:rsid w:val="002472BC"/>
    <w:rsid w:val="006E53EC"/>
    <w:rsid w:val="00781082"/>
    <w:rsid w:val="00821792"/>
    <w:rsid w:val="00891FF4"/>
    <w:rsid w:val="008D20E0"/>
    <w:rsid w:val="00A64CAE"/>
    <w:rsid w:val="00CA585C"/>
    <w:rsid w:val="00F6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0FBD5"/>
  <w15:chartTrackingRefBased/>
  <w15:docId w15:val="{DCAB2EEB-D055-4090-B6E1-B7E2F516F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2BC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217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7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7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7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7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7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7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7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7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7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7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17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7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7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7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7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7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7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7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7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7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7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179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472B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472B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62CE5"/>
    <w:rPr>
      <w:rFonts w:ascii="Courier New" w:hAnsi="Courier New" w:cs="Courier New"/>
      <w:sz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62CE5"/>
    <w:rPr>
      <w:rFonts w:ascii="Courier New" w:eastAsia="宋体" w:hAnsi="Courier New" w:cs="Courier New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109/ACCESS.2025.362805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gby@edu.nuc.email</dc:creator>
  <cp:keywords/>
  <dc:description/>
  <cp:lastModifiedBy>gby@edu.nuc.email</cp:lastModifiedBy>
  <cp:revision>10</cp:revision>
  <dcterms:created xsi:type="dcterms:W3CDTF">2026-03-14T07:49:00Z</dcterms:created>
  <dcterms:modified xsi:type="dcterms:W3CDTF">2026-03-14T08:18:00Z</dcterms:modified>
</cp:coreProperties>
</file>