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2CA385">
      <w:pPr>
        <w:ind w:firstLine="420" w:firstLineChars="0"/>
        <w:rPr>
          <w:rFonts w:hint="eastAsia"/>
        </w:rPr>
      </w:pPr>
      <w:bookmarkStart w:id="0" w:name="_GoBack"/>
      <w:r>
        <w:rPr>
          <w:rFonts w:hint="eastAsia"/>
        </w:rPr>
        <w:t>This study targets the key challenges of small object detection in YOLOv8n under high-resolution input (1024). While higher resolution makes small objects more visible, small-object cues can still be diluted during downsampling and multi-scale fusion, and localization signals for tiny boxes remain weak under standard objectives. Our results suggest that YOLO-SOD effectively addresses these issues: on COCO, AP_S increases from 36.2 to 41.9 and mAP@0.5:0.95 improves from 47.8 to 49.0, indicating that most benefits are concentrated on small objects rather than coming from a general accuracy shift. The 10.4% reduction in missed detections on VisDrone further supports improved robustness in dense and cluttered scenes.</w:t>
      </w:r>
    </w:p>
    <w:p w14:paraId="1E1C9AAE">
      <w:pPr>
        <w:ind w:firstLine="420" w:firstLineChars="0"/>
        <w:rPr>
          <w:rFonts w:hint="eastAsia"/>
        </w:rPr>
      </w:pPr>
      <w:r>
        <w:rPr>
          <w:rFonts w:hint="eastAsia"/>
        </w:rPr>
        <w:t>Mechanistically, the ablation gains (detail preservation +2.6 AP_S, fusion+attention +2.0, and small-object-aware objective +1.1) imply that the performance improvement is not driven by a single component but by the combined effect of preserving high-frequency details, strengthening cross-level interactions, and reshaping the optimization signal for small boxes. The detail-preservation branch highlights the importance of shallow, high-resolution textures for tiny targets, which are otherwise weakened by conventional stride-2 operations. The efficiency-aware fusion and position-sensitive attention likely reduce confusion between object-like background patterns and true small targets by enhancing cross-scale context while suppressing irrelevant regions. Finally, small-object reweighting and scale/corner-sensitive regression amplify pixel-level deviations into stronger gradients, improving localization stability for tiny boxes where minor offsets can cause large IoU drops.</w:t>
      </w:r>
    </w:p>
    <w:p w14:paraId="6BDA39C8">
      <w:pPr>
        <w:ind w:firstLine="420" w:firstLineChars="0"/>
        <w:rPr>
          <w:rFonts w:hint="eastAsia"/>
        </w:rPr>
      </w:pPr>
      <w:r>
        <w:rPr>
          <w:rFonts w:hint="eastAsia"/>
        </w:rPr>
        <w:t>Nevertheless, accuracy improvements come with measurable efficiency costs: parameters increase from 3.15M to 3.42M, FLOPs from 92.0G to 98.6G, and FPS decreases from 42 to 39 at 1024 resolution. Whether this trade-off is acceptable depends on deployment priorities. Applications dominated by distant or dense small objects (e.g., traffic signs, UAV surveillance, pest monitoring) often value reduced false negatives more than marginal speed loss, whereas resource-constrained devices may require further compression via pruning, quantization, or distillation. Additional limitations remain. The proposed reweighting may need retuning if the scale distribution shifts; attention can still mis-focus in highly textured backgrounds; and current validation is limited to COCO and VisDrone, leaving cross-domain generalization to real operational data an open question.</w:t>
      </w:r>
    </w:p>
    <w:p w14:paraId="082C5E53">
      <w:pPr>
        <w:ind w:firstLine="420" w:firstLineChars="0"/>
        <w:rPr>
          <w:rFonts w:hint="eastAsia"/>
        </w:rPr>
      </w:pPr>
      <w:r>
        <w:rPr>
          <w:rFonts w:hint="eastAsia"/>
        </w:rPr>
        <w:t>Future work can proceed along three directions: (1) efficiency optimization for 1024-resolution deployment (e.g., more aggressive operator replacement and TensorRT/ONNX acceleration), (2) improving assignment stability in crowded small-object cases (e.g., enhanced label assignment or context-aware constraints), and (3) broader robustness evaluation and training (e.g., low-light, haze, motion blur augmentations and domain adaptation) to verify reliability in complex real-world environments.</w:t>
      </w:r>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Droid Sans Fallback"/>
    <w:panose1 w:val="00000000000000000000"/>
    <w:charset w:val="00"/>
    <w:family w:val="auto"/>
    <w:pitch w:val="default"/>
    <w:sig w:usb0="00000000" w:usb1="00000000" w:usb2="00000000" w:usb3="00000000" w:csb0="00000000" w:csb1="00000000"/>
  </w:font>
  <w:font w:name="Wingdings">
    <w:altName w:val="Web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00007A87" w:usb1="80000000" w:usb2="00000008"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7A87" w:usb1="80000000" w:usb2="00000008" w:usb3="00000000" w:csb0="400001FF" w:csb1="FFFF0000"/>
  </w:font>
  <w:font w:name="Symbol">
    <w:altName w:val="Webdings"/>
    <w:panose1 w:val="05050102010706020507"/>
    <w:charset w:val="02"/>
    <w:family w:val="roman"/>
    <w:pitch w:val="default"/>
    <w:sig w:usb0="00000000" w:usb1="00000000" w:usb2="00000000" w:usb3="00000000" w:csb0="80000000" w:csb1="00000000"/>
  </w:font>
  <w:font w:name="Calibri">
    <w:altName w:val="Trebuchet MS"/>
    <w:panose1 w:val="020F0502020204030204"/>
    <w:charset w:val="00"/>
    <w:family w:val="swiss"/>
    <w:pitch w:val="default"/>
    <w:sig w:usb0="00000000" w:usb1="00000000" w:usb2="00000001" w:usb3="00000000" w:csb0="0000019F" w:csb1="00000000"/>
  </w:font>
  <w:font w:name="Trebuchet MS">
    <w:panose1 w:val="020B0603020202020204"/>
    <w:charset w:val="00"/>
    <w:family w:val="auto"/>
    <w:pitch w:val="default"/>
    <w:sig w:usb0="00000287" w:usb1="00000000" w:usb2="00000000" w:usb3="00000000" w:csb0="2000009F" w:csb1="00000000"/>
  </w:font>
  <w:font w:name="Droid Sans Fallback">
    <w:panose1 w:val="020B0502000000000001"/>
    <w:charset w:val="86"/>
    <w:family w:val="auto"/>
    <w:pitch w:val="default"/>
    <w:sig w:usb0="910002FF" w:usb1="2BDFFCFB" w:usb2="00000036" w:usb3="00000000" w:csb0="203F01FF" w:csb1="D7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771D9"/>
    <w:rsid w:val="B7FA9B4A"/>
    <w:rsid w:val="FF7DB1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Office_12.1.2.25838_F1E327BC-269C-435d-A152-05C5408002CA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2026-03-31T03:03:00Z</dcterms:created>
  <dc:creator>Administrator</dc:creator>
  <cp:lastModifiedBy>BaiRong</cp:lastModifiedBy>
  <dcterms:modified xsi:type="dcterms:W3CDTF">2026-04-15T14:10:27Z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2052-12.1.2.25838</vt:lpwstr>
  </property>
  <property fmtid="{D5CDD505-2E9C-101B-9397-08002B2CF9AE}" pid="3" name="KSOTemplateDocerSaveRecord">
    <vt:lpwstr>eyJoZGlkIjoiZmU5MTliMTY1YzRlMDBiOGNiZjE5ZmM4NjRjNDllZjMiLCJ1c2VySWQiOiI4NDA5MjA0NDQifQ==</vt:lpwstr>
  </property>
  <property fmtid="{D5CDD505-2E9C-101B-9397-08002B2CF9AE}" pid="4" name="ICV">
    <vt:lpwstr>9FA58A1B89074A41B754DE3A54A66C88_12</vt:lpwstr>
  </property>
</Properties>
</file>