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E22B1">
      <w:pPr>
        <w:rPr>
          <w:rFonts w:hint="eastAsia"/>
        </w:rPr>
      </w:pPr>
      <w:bookmarkStart w:id="0" w:name="_GoBack"/>
      <w:r>
        <w:rPr>
          <w:rFonts w:hint="eastAsia"/>
        </w:rPr>
        <w:t>一、原本科论文讨论部分的主要不足</w:t>
      </w:r>
    </w:p>
    <w:p w14:paraId="07264124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缺少基于结果的数据支撑</w:t>
      </w:r>
      <w:r>
        <w:rPr>
          <w:rFonts w:hint="eastAsia"/>
          <w:lang w:eastAsia="zh-CN"/>
        </w:rPr>
        <w:t>：</w:t>
      </w:r>
      <w:r>
        <w:rPr>
          <w:rFonts w:hint="eastAsia"/>
        </w:rPr>
        <w:t>原文多用“有所提升、更加稳定、具有价值”等结论式表述，但缺少关键指标与变化幅度（如AP_S、mAP、漏检变化、速度变化等）。读者难以判断提升的大小与可信度，讨论显得偏主观。</w:t>
      </w:r>
    </w:p>
    <w:p w14:paraId="35500A01">
      <w:pPr>
        <w:numPr>
          <w:ilvl w:val="0"/>
          <w:numId w:val="1"/>
        </w:numPr>
        <w:ind w:firstLine="420" w:firstLineChars="0"/>
        <w:rPr>
          <w:rFonts w:hint="eastAsia"/>
        </w:rPr>
      </w:pPr>
      <w:r>
        <w:rPr>
          <w:rFonts w:hint="eastAsia"/>
        </w:rPr>
        <w:t>机理解释不足（只描述现象，没有解释原因）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原文指出“结构优化与训练策略有效”，但没有说明这些改动分别解决了小目标检测的哪些典型失败模式，例如：下采样导致细节丢失、跨尺度融合不足、背景纹理干扰、小框回归误差不敏感、密集目标分配不稳定等。</w:t>
      </w:r>
    </w:p>
    <w:p w14:paraId="3FDD6AAF">
      <w:pPr>
        <w:numPr>
          <w:ilvl w:val="0"/>
          <w:numId w:val="1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未把消融实验转化为论证链条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原文提到做了消融，但没有用“模块改动 → 指标变化 → 结论”的方式呈现每个模块的贡献与互补性，导致读者难以判断改动是否必要、是否存在冗余、提升是否稳定可复现。</w:t>
      </w:r>
    </w:p>
    <w:p w14:paraId="68E56183">
      <w:pPr>
        <w:numPr>
          <w:ilvl w:val="0"/>
          <w:numId w:val="1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缺少效率代价与部署语境的讨论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原文仅笼统描述“速度有所下降”，但没有给出参数量、FLOPs、FPS等量化代价，也没有结合1024输入这一高成本设置讨论为什么必须做精度—速度权衡，以及哪些场景更看重召回、哪些场景更看重帧率。</w:t>
      </w:r>
    </w:p>
    <w:p w14:paraId="502A70B1">
      <w:pPr>
        <w:numPr>
          <w:ilvl w:val="0"/>
          <w:numId w:val="1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局限性与未来工作过于宽泛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原文的局限性表述较泛（如“可能误检”“需更多测试”），缺少与本文方法直接相关的具体风险点；未来工作方向也较笼统，没有给出可执行的技术路线或明确的改进目标。</w:t>
      </w:r>
    </w:p>
    <w:p w14:paraId="5FA4BEBE">
      <w:pPr>
        <w:rPr>
          <w:rFonts w:hint="eastAsia"/>
        </w:rPr>
      </w:pPr>
      <w:r>
        <w:rPr>
          <w:rFonts w:hint="eastAsia"/>
        </w:rPr>
        <w:t>二、逐条修改依据（修改版具体做了什么、为什么这样改）</w:t>
      </w:r>
    </w:p>
    <w:p w14:paraId="65403F8B">
      <w:pPr>
        <w:numPr>
          <w:ilvl w:val="0"/>
          <w:numId w:val="2"/>
        </w:numPr>
        <w:ind w:firstLine="420" w:firstLineChars="0"/>
        <w:rPr>
          <w:rFonts w:hint="eastAsia"/>
        </w:rPr>
      </w:pPr>
      <w:r>
        <w:rPr>
          <w:rFonts w:hint="eastAsia"/>
        </w:rPr>
        <w:t>针对“数据支撑不足”的修改</w:t>
      </w:r>
      <w:r>
        <w:rPr>
          <w:rFonts w:hint="eastAsia"/>
          <w:lang w:eastAsia="zh-CN"/>
        </w:rPr>
        <w:t>：</w:t>
      </w:r>
      <w:r>
        <w:rPr>
          <w:rFonts w:hint="eastAsia"/>
        </w:rPr>
        <w:t>修改版在讨论中补充了核心结果数字，并把结论与数据一一对应（例如COCO上AP_S的提升、整体mAP的变化、VisDrone漏检下降、以及1024输入下FPS变化）。</w:t>
      </w:r>
    </w:p>
    <w:p w14:paraId="02724955">
      <w:pPr>
        <w:ind w:firstLine="420" w:firstLineChars="0"/>
        <w:rPr>
          <w:rFonts w:hint="eastAsia"/>
        </w:rPr>
      </w:pPr>
      <w:r>
        <w:rPr>
          <w:rFonts w:hint="eastAsia"/>
        </w:rPr>
        <w:t>修改依据：Discussion必须围绕实验结果展开，用量化证据支撑观点，减少空泛评价。</w:t>
      </w:r>
    </w:p>
    <w:p w14:paraId="306A79CC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针对“机理解释不足”的修改</w:t>
      </w:r>
      <w:r>
        <w:rPr>
          <w:rFonts w:hint="eastAsia"/>
          <w:lang w:eastAsia="zh-CN"/>
        </w:rPr>
        <w:t>：</w:t>
      </w:r>
      <w:r>
        <w:rPr>
          <w:rFonts w:hint="eastAsia"/>
        </w:rPr>
        <w:t>修改版将方法拆分为“特征保留—融合增强—学习目标再权衡”三条路径，并把每条路径对应到小目标检测的具体问题：</w:t>
      </w:r>
    </w:p>
    <w:p w14:paraId="6F99C8D8">
      <w:pPr>
        <w:ind w:firstLine="420" w:firstLineChars="0"/>
        <w:rPr>
          <w:rFonts w:hint="eastAsia"/>
        </w:rPr>
      </w:pPr>
      <w:r>
        <w:rPr>
          <w:rFonts w:hint="eastAsia"/>
        </w:rPr>
        <w:t>（1）浅层细节保留分支：缓解下采样带来的高频信息衰减；</w:t>
      </w:r>
    </w:p>
    <w:p w14:paraId="688456A6">
      <w:pPr>
        <w:ind w:firstLine="420" w:firstLineChars="0"/>
        <w:rPr>
          <w:rFonts w:hint="eastAsia"/>
        </w:rPr>
      </w:pPr>
      <w:r>
        <w:rPr>
          <w:rFonts w:hint="eastAsia"/>
        </w:rPr>
        <w:t>（2）轻量多尺度融合与位置敏感注意力：增强跨层交互并抑制背景干扰；</w:t>
      </w:r>
    </w:p>
    <w:p w14:paraId="41B610BC">
      <w:pPr>
        <w:ind w:firstLine="420" w:firstLineChars="0"/>
        <w:rPr>
          <w:rFonts w:hint="eastAsia"/>
        </w:rPr>
      </w:pPr>
      <w:r>
        <w:rPr>
          <w:rFonts w:hint="eastAsia"/>
        </w:rPr>
        <w:t>（3）小目标重加权与尺度/角点敏感回归约束：增强对小框定位误差的敏感性，降低漏检与框不准。</w:t>
      </w:r>
    </w:p>
    <w:p w14:paraId="40AF8F85">
      <w:pPr>
        <w:ind w:firstLine="420" w:firstLineChars="0"/>
        <w:rPr>
          <w:rFonts w:hint="eastAsia"/>
        </w:rPr>
      </w:pPr>
      <w:r>
        <w:rPr>
          <w:rFonts w:hint="eastAsia"/>
        </w:rPr>
        <w:t>修改依据：Discussion不仅要“陈述结果”，更要解释“为什么能提升”，把现象和机制连接起来。</w:t>
      </w:r>
    </w:p>
    <w:p w14:paraId="2FAD0003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针对“消融没有形成论证”的修改</w:t>
      </w:r>
      <w:r>
        <w:rPr>
          <w:rFonts w:hint="eastAsia"/>
          <w:lang w:eastAsia="zh-CN"/>
        </w:rPr>
        <w:t>：</w:t>
      </w:r>
    </w:p>
    <w:p w14:paraId="066ED9D6">
      <w:pPr>
        <w:ind w:firstLine="420" w:firstLineChars="0"/>
        <w:rPr>
          <w:rFonts w:hint="eastAsia"/>
        </w:rPr>
      </w:pPr>
      <w:r>
        <w:rPr>
          <w:rFonts w:hint="eastAsia"/>
        </w:rPr>
        <w:t>修改版引用消融的增益顺序，构建因果链条（先细节保留，再融合注意力，最后目标重加权/回归约束），并明确指出提升来自多模块协同而不是单点偶然。</w:t>
      </w:r>
    </w:p>
    <w:p w14:paraId="6EF4824B">
      <w:pPr>
        <w:ind w:firstLine="420" w:firstLineChars="0"/>
        <w:rPr>
          <w:rFonts w:hint="eastAsia"/>
        </w:rPr>
      </w:pPr>
      <w:r>
        <w:rPr>
          <w:rFonts w:hint="eastAsia"/>
        </w:rPr>
        <w:t>修改依据：消融实验的作用是提高可信度，说明每个模块的必要性与互补性。</w:t>
      </w:r>
    </w:p>
    <w:p w14:paraId="09C7D148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针对“缺少效率与部署语境”的修改</w:t>
      </w:r>
      <w:r>
        <w:rPr>
          <w:rFonts w:hint="eastAsia"/>
          <w:lang w:eastAsia="zh-CN"/>
        </w:rPr>
        <w:t>：</w:t>
      </w:r>
    </w:p>
    <w:p w14:paraId="7D26414E">
      <w:pPr>
        <w:ind w:firstLine="420" w:firstLineChars="0"/>
        <w:rPr>
          <w:rFonts w:hint="eastAsia"/>
        </w:rPr>
      </w:pPr>
      <w:r>
        <w:rPr>
          <w:rFonts w:hint="eastAsia"/>
        </w:rPr>
        <w:t>修改版补充了参数量、FLOPs、FPS的变化，并讨论“代价是否可接受”取决于部署目标：若应用强调密集或远距离小目标（如交通标志、无人机监控、害虫监测），召回提升更关键；若更强调低功耗与高帧率，则需要进一步用剪枝、量化、蒸馏或TensorRT/ONNX加速来降低开销。</w:t>
      </w:r>
    </w:p>
    <w:p w14:paraId="77D60FF6">
      <w:pPr>
        <w:ind w:firstLine="420" w:firstLineChars="0"/>
        <w:rPr>
          <w:rFonts w:hint="eastAsia"/>
        </w:rPr>
      </w:pPr>
      <w:r>
        <w:rPr>
          <w:rFonts w:hint="eastAsia"/>
        </w:rPr>
        <w:t>修改依据：高分辨率输入（1024）本身计算成本高，讨论必须同时呈现精度收益与计算代价，才能判断方法价值。</w:t>
      </w:r>
    </w:p>
    <w:p w14:paraId="47C352A6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针对“局限性与未来工作宽泛”的修改</w:t>
      </w:r>
      <w:r>
        <w:rPr>
          <w:rFonts w:hint="eastAsia"/>
          <w:lang w:eastAsia="zh-CN"/>
        </w:rPr>
        <w:t>：</w:t>
      </w:r>
    </w:p>
    <w:p w14:paraId="342B8924">
      <w:pPr>
        <w:ind w:firstLine="420" w:firstLineChars="0"/>
        <w:rPr>
          <w:rFonts w:hint="eastAsia"/>
        </w:rPr>
      </w:pPr>
      <w:r>
        <w:rPr>
          <w:rFonts w:hint="eastAsia"/>
        </w:rPr>
        <w:t>修改版将局限性具体化：</w:t>
      </w:r>
    </w:p>
    <w:p w14:paraId="5841F52E">
      <w:pPr>
        <w:ind w:firstLine="420" w:firstLineChars="0"/>
        <w:rPr>
          <w:rFonts w:hint="eastAsia"/>
        </w:rPr>
      </w:pPr>
      <w:r>
        <w:rPr>
          <w:rFonts w:hint="eastAsia"/>
        </w:rPr>
        <w:t>（1）尺度分布变化时重加权策略可能需要重新调整；</w:t>
      </w:r>
    </w:p>
    <w:p w14:paraId="1AAA4CD1">
      <w:pPr>
        <w:ind w:firstLine="420" w:firstLineChars="0"/>
        <w:rPr>
          <w:rFonts w:hint="eastAsia"/>
        </w:rPr>
      </w:pPr>
      <w:r>
        <w:rPr>
          <w:rFonts w:hint="eastAsia"/>
        </w:rPr>
        <w:t>（2）强纹理背景可能导致注意力误聚焦；</w:t>
      </w:r>
    </w:p>
    <w:p w14:paraId="2B5C0B04">
      <w:pPr>
        <w:ind w:firstLine="420" w:firstLineChars="0"/>
        <w:rPr>
          <w:rFonts w:hint="eastAsia"/>
        </w:rPr>
      </w:pPr>
      <w:r>
        <w:rPr>
          <w:rFonts w:hint="eastAsia"/>
        </w:rPr>
        <w:t>（3）仅在COCO与VisDrone验证，跨域泛化仍需真实业务数据检验。</w:t>
      </w:r>
    </w:p>
    <w:p w14:paraId="7AFFE6BB">
      <w:pPr>
        <w:rPr>
          <w:rFonts w:hint="eastAsia"/>
        </w:rPr>
      </w:pPr>
      <w:r>
        <w:rPr>
          <w:rFonts w:hint="eastAsia"/>
        </w:rPr>
        <w:t>三、我学到的内容（写作与研究表达层面）</w:t>
      </w:r>
    </w:p>
    <w:p w14:paraId="16DEBC63">
      <w:pPr>
        <w:numPr>
          <w:ilvl w:val="0"/>
          <w:numId w:val="3"/>
        </w:numPr>
        <w:ind w:firstLine="420" w:firstLineChars="0"/>
        <w:rPr>
          <w:rFonts w:hint="eastAsia"/>
        </w:rPr>
      </w:pPr>
      <w:r>
        <w:rPr>
          <w:rFonts w:hint="eastAsia"/>
        </w:rPr>
        <w:t>Discussion应形成“结果—原因—权衡—局限—下一步”的闭环结构，而不是重复Results或只给结论。</w:t>
      </w:r>
    </w:p>
    <w:p w14:paraId="052284C9">
      <w:pPr>
        <w:numPr>
          <w:ilvl w:val="0"/>
          <w:numId w:val="3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讨论部分的观点要尽量可量化：用指标变化、消融贡献、效率代价支撑推断，避免泛化形容词。</w:t>
      </w:r>
    </w:p>
    <w:p w14:paraId="577B4F4A">
      <w:pPr>
        <w:numPr>
          <w:ilvl w:val="0"/>
          <w:numId w:val="3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论文写作需要同时回答三个问题：提升了什么（指标）、为什么提升（机理/消融）、值不值得（代价/部署语境）。</w:t>
      </w:r>
    </w:p>
    <w:p w14:paraId="082C5E53">
      <w:pPr>
        <w:numPr>
          <w:ilvl w:val="0"/>
          <w:numId w:val="3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同一套实验结果可以有不同表达风格，但无论中文或英文，都必须保留可复现要点与核心指标信息。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E3048"/>
    <w:multiLevelType w:val="singleLevel"/>
    <w:tmpl w:val="BDFE304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B61C90"/>
    <w:multiLevelType w:val="singleLevel"/>
    <w:tmpl w:val="FFB61C9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E541973"/>
    <w:multiLevelType w:val="singleLevel"/>
    <w:tmpl w:val="7E541973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771D9"/>
    <w:rsid w:val="3FFE11B9"/>
    <w:rsid w:val="B7FA9B4A"/>
    <w:rsid w:val="FF7DB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2026-03-31T11:03:00Z</dcterms:created>
  <dc:creator>Administrator</dc:creator>
  <cp:lastModifiedBy>BaiRong</cp:lastModifiedBy>
  <dcterms:modified xsi:type="dcterms:W3CDTF">2026-04-15T14:15:49Z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KSOTemplateDocerSaveRecord">
    <vt:lpwstr>eyJoZGlkIjoiZmU5MTliMTY1YzRlMDBiOGNiZjE5ZmM4NjRjNDllZjMiLCJ1c2VySWQiOiI4NDA5MjA0NDQifQ==</vt:lpwstr>
  </property>
  <property fmtid="{D5CDD505-2E9C-101B-9397-08002B2CF9AE}" pid="4" name="ICV">
    <vt:lpwstr>9FA58A1B89074A41B754DE3A54A66C88_12</vt:lpwstr>
  </property>
</Properties>
</file>