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15B3A">
      <w:pPr>
        <w:ind w:firstLine="420" w:firstLineChars="0"/>
        <w:rPr>
          <w:rFonts w:hint="eastAsia"/>
        </w:rPr>
      </w:pPr>
      <w:r>
        <w:rPr>
          <w:rFonts w:hint="eastAsia"/>
        </w:rPr>
        <w:t>本研究围绕YOLOv8n在小目标检测中的核心痛点展开：高分辨率输入下，小目标虽然更易被“看见”，但在深层下采样与融合阶段仍可能出现细节被稀释、背景纹理干扰增强以及小框回归误差不敏感等问题。实验结果显示，在输入尺寸1024的设定下，YOLO-SOD在COCO上将AP_S从36.2提升至41.9，同时mAP@0.5:0.95由47.8提升至49.0，说明改进带来的主要收益确实集中在小目标尺度；VisDrone上漏检下降10.4%也表明该方法在密集目标与复杂背景条件下更具鲁棒性。结合消融结果（细节保留+2.6、融合注意力+2.0、目标重加权/回归约束+1.1），可以推断性能提升并非单一模块“偶然贡献”，而是“特征保留—融合增强—学习目标再权衡”共同作用的结果。</w:t>
      </w:r>
    </w:p>
    <w:p w14:paraId="14C31328">
      <w:pPr>
        <w:ind w:firstLine="420" w:firstLineChars="0"/>
        <w:rPr>
          <w:rFonts w:hint="eastAsia"/>
        </w:rPr>
      </w:pPr>
      <w:r>
        <w:rPr>
          <w:rFonts w:hint="eastAsia"/>
        </w:rPr>
        <w:t>从机理角度看，浅层细节保留分支的增益表明小目标识别高度依赖边缘与纹理等高频信息，而这些信息在常规下采样路径中最容易衰减；轻量多尺度融合与位置敏感注意力进一步提升AP_S并降低误检，说明在小目标密集场景中，模型需要更强的跨层交互来区分“目标纹理”与“背景纹理”，并通过注意力在空间位置上抑制无关区域；最后，小目标重加权与尺度/角点敏感的回归约束对定位误差更</w:t>
      </w:r>
      <w:bookmarkStart w:id="0" w:name="_GoBack"/>
      <w:bookmarkEnd w:id="0"/>
      <w:r>
        <w:rPr>
          <w:rFonts w:hint="eastAsia"/>
        </w:rPr>
        <w:t>“敏感”，能够把像素级的小偏移放大为优化信号，从而改善小框框不准与漏检问题。这与小目标检测的常见失败模式（中心偏移导致IoU急剧下降、密集目标互相覆盖导致分配不稳定）相一致。</w:t>
      </w:r>
    </w:p>
    <w:p w14:paraId="31DCE3DE">
      <w:pPr>
        <w:ind w:firstLine="420" w:firstLineChars="0"/>
        <w:rPr>
          <w:rFonts w:hint="eastAsia"/>
        </w:rPr>
      </w:pPr>
      <w:r>
        <w:rPr>
          <w:rFonts w:hint="eastAsia"/>
        </w:rPr>
        <w:t>需要强调的是，精度提升伴随一定的效率代价：参数由3.15M增至3.42M、FLOPs由92.0G增至98.6G、FPS从42降至39。对于边缘端部署，这一代价是否可接受取决于应用场景：若任务强调远距离与密集小目标（如交通标志、无人机监控、害虫监测），AP_S提升带来的漏检减少往往更关键；若更强调低功耗与高帧率，则需要进一步通过剪枝、量化或蒸馏降低开销。此外，本研究仍存在局限：其一，改进主要针对小目标，若场景中尺度分布发生显著变化，可能需要重新调整重加权策略；其二，注意力模块在强纹理背景中仍可能引入误聚焦，导致局部误检；其三，当前验证集中在COCO与VisDrone，尚需在更贴近业务的真实数据上评估跨域泛化。</w:t>
      </w:r>
    </w:p>
    <w:p w14:paraId="082C5E53">
      <w:pPr>
        <w:ind w:firstLine="420" w:firstLineChars="0"/>
        <w:rPr>
          <w:rFonts w:hint="eastAsia"/>
        </w:rPr>
      </w:pPr>
      <w:r>
        <w:rPr>
          <w:rFonts w:hint="eastAsia"/>
        </w:rPr>
        <w:t>基于以上讨论，后续工作可沿三条路线推进：第一，面向1024输入的效率优化（例如更激进的轻量算子替换、TensorRT/ONNX部署优化）；第二，进一步提升密集小目标的匹配与分配稳定性（如改进标签分配或引入更强的上下文约束）；第三，构建跨域评测与鲁棒训练策略（如针对雾霾、低照度、运动模糊的增强与自适应训练），以验证方法在真实复杂环境中的可靠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771D9"/>
    <w:rsid w:val="FF7DB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2026-03-30T19:03:00Z</dcterms:created>
  <dc:creator>Administrator</dc:creator>
  <cp:lastModifiedBy>BaiRong</cp:lastModifiedBy>
  <dcterms:modified xsi:type="dcterms:W3CDTF">2026-04-15T14:09:13Z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9FA58A1B89074A41B754DE3A54A66C88_12</vt:lpwstr>
  </property>
</Properties>
</file>