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96E01">
      <w:pPr>
        <w:ind w:firstLine="420" w:firstLineChars="0"/>
        <w:rPr>
          <w:rFonts w:hint="eastAsia"/>
        </w:rPr>
      </w:pPr>
      <w:r>
        <w:rPr>
          <w:rFonts w:hint="eastAsia"/>
        </w:rPr>
        <w:t>本文面向高分辨率（1024）输入下的“小目标易漏检、难定位”问题，以YOLOv8n为基线提出轻量化小目标增强方法YOLO-SOD，并在COCO与VisDrone上进行了系统验证。实验表明，YOLO-SOD在保持可用实时性的前提下显著提升了小目标检测性能：在COCO上AP_S由36.2提升至41.9（+5.7），整体mAP@0.5:0.95由47.8提升至49.0（+1.2）；在VisDrone密集小目标场景中漏检率下降10.4%。这些结果说明本文方法的主要收益集中在小目标尺度，并能在复杂背景与遮挡条件下提升召回与稳定性。</w:t>
      </w:r>
    </w:p>
    <w:p w14:paraId="4EDC9E5A">
      <w:pPr>
        <w:ind w:firstLine="420" w:firstLineChars="0"/>
        <w:rPr>
          <w:rFonts w:hint="eastAsia"/>
        </w:rPr>
      </w:pPr>
      <w:r>
        <w:rPr>
          <w:rFonts w:hint="eastAsia"/>
        </w:rPr>
        <w:t>在方法贡献方面，YOLO-SOD通过“特征保留—融合增强—学习目标再权衡”三条路径提升小目标表征能力：（1）浅层细节特征保留增强了高频纹理信息的传递；（2）轻量多尺度融合与位置敏感注意力加强了跨层交互并抑制背景干扰；（3）小目标重加权与尺度/角点敏感回归约束提升了小框定位的优化信号。消融结果显示，上述模块呈现互补增益，能够稳定带来小目标指标提升。</w:t>
      </w:r>
    </w:p>
    <w:p w14:paraId="75643256">
      <w:pPr>
        <w:ind w:firstLine="420" w:firstLineChars="0"/>
        <w:rPr>
          <w:rFonts w:hint="eastAsia"/>
        </w:rPr>
      </w:pPr>
      <w:r>
        <w:rPr>
          <w:rFonts w:hint="eastAsia"/>
        </w:rPr>
        <w:t>效率方面，YOLO-SOD的参数量从3.15M增加到3.42M、FLOPs从92.0G增加到98.6G、在1024输入下FPS从42下降到39，说明精度提升以可控的计算开销为代价。综合精度、速度与模型规模，YOLO-SOD适用于对小目标召回要求更高且允许轻微速度下降的场景（如交通标志、无人机监控与害虫检测）。</w:t>
      </w:r>
    </w:p>
    <w:p w14:paraId="082C5E53">
      <w:pPr>
        <w:ind w:firstLine="420" w:firstLineChars="0"/>
      </w:pPr>
      <w:r>
        <w:rPr>
          <w:rFonts w:hint="eastAsia"/>
        </w:rPr>
        <w:t>尽管本文方法取得了较好的效果，仍存</w:t>
      </w:r>
      <w:bookmarkStart w:id="0" w:name="_GoBack"/>
      <w:bookmarkEnd w:id="0"/>
      <w:r>
        <w:rPr>
          <w:rFonts w:hint="eastAsia"/>
        </w:rPr>
        <w:t>在局限：重加权策略可能随数据集尺度分布变化而需重新调参；注意力模块在强纹理背景下仍可能产生误聚焦；跨域泛化尚需更多真实业务数据验证。未来工作将从三方面展开：针对1024输入的进一步加速与部署优化（ONNX/TensorRT与模型压缩）、提升密集小目标的匹配/分配稳定性、以及面向真实退化条件（低照度、雾霾、运动模糊）的鲁棒训练与跨域评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A771D9"/>
    <w:rsid w:val="7FBC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2026-03-30T19:03:00Z</dcterms:created>
  <dc:creator>Administrator</dc:creator>
  <cp:lastModifiedBy>BaiRong</cp:lastModifiedBy>
  <dcterms:modified xsi:type="dcterms:W3CDTF">2026-04-21T11:17:29Z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KSOTemplateDocerSaveRecord">
    <vt:lpwstr>eyJoZGlkIjoiZmU5MTliMTY1YzRlMDBiOGNiZjE5ZmM4NjRjNDllZjMiLCJ1c2VySWQiOiI4NDA5MjA0NDQifQ==</vt:lpwstr>
  </property>
  <property fmtid="{D5CDD505-2E9C-101B-9397-08002B2CF9AE}" pid="4" name="ICV">
    <vt:lpwstr>9FA58A1B89074A41B754DE3A54A66C88_12</vt:lpwstr>
  </property>
</Properties>
</file>