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-1021715</wp:posOffset>
                </wp:positionH>
                <wp:positionV relativeFrom="paragraph">
                  <wp:posOffset>-772795</wp:posOffset>
                </wp:positionV>
                <wp:extent cx="6110605" cy="15824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0605" cy="15824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  <w:t>主机处理器➕固态硬盘内嵌入式处理器</w:t>
                            </w:r>
                          </w:p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lang w:eastAsia="zh-CN"/>
                              </w:rPr>
                              <w:t>应用领域：一般性（计算功能可由用户编程）数据密集型应用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.45pt;margin-top:-60.85pt;height:124.6pt;width:481.15pt;mso-position-horizontal-relative:margin;z-index:251658240;mso-width-relative:page;mso-height-relative:page;" filled="f" stroked="f" coordsize="21600,21600" o:gfxdata="UEsDBAoAAAAAAIdO4kAAAAAAAAAAAAAAAAAEAAAAZHJzL1BLAwQUAAAACACHTuJAe57819oAAAAN&#10;AQAADwAAAGRycy9kb3ducmV2LnhtbE2Py07DMBBF90j8gzVI7FrbaekjxOkCgbphQ6nE1omnSVR7&#10;HGz3wd/jrmA3ozm6c261uTrLzhji4EmBnApgSK03A3UK9p9vkxWwmDQZbT2hgh+MsKnv7ypdGn+h&#10;DzzvUsdyCMVSK+hTGkvOY9uj03HqR6R8O/jgdMpr6LgJ+pLDneWFEAvu9ED5Q69HfOmxPe5OTsE4&#10;/0rDcb917zMfXtfbxn7PDlapxwcpnoElvKY/GG76WR3q7NT4E5nIrIKJXIh1Zm9TIZfAMrMScg6s&#10;yXCxfAJeV/x/i/oXUEsDBBQAAAAIAIdO4kDPR1bBJQIAACIEAAAOAAAAZHJzL2Uyb0RvYy54bWyt&#10;U82O0zAQviPxDpbvNEmVlqVquiq7KkKq2JW6K86u4zSRbI+x3SblAeANOO2FO8/V52DstN3yc0Jc&#10;nMnMeMbfN99MrzslyU5Y14AuaDZIKRGaQ9noTUEfHxavrihxnumSSdCioHvh6PXs5YtpayZiCDXI&#10;UliCRbSbtKagtfdmkiSO10IxNwAjNAYrsIp5/LWbpLSsxepKJsM0HSct2NJY4MI59N72QTqL9atK&#10;cH9XVU54IguKb/PxtPFchzOZTdlkY5mpG358BvuHVyjWaGx6LnXLPCNb2/xRSjXcgoPKDzioBKqq&#10;4SJiQDRZ+huaVc2MiFiQHGfONLn/V5Z/2N1b0pQFzSnRTOGIDt++Hp5+HL5/IXmgpzVuglkrg3m+&#10;ewsdjvnkd+gMqLvKqvBFPATjSPT+TK7oPOHoHGdZOk5HlHCMZaOrYT6M9CfP1411/p0ARYJRUIvT&#10;i6Sy3dJ5fAqmnlJCNw2LRso4QalJGzr+4sZ0qfFWQNC/NFi+W3dHWGso94jKQi8LZ/iiwc5L5vw9&#10;s6gDBILa9nd4VBKwAxwtSmqwn//mD/k4HoxS0qKuCuo+bZkVlMj3Ggf3JsvzIMT4k49eIwnEXkbW&#10;lxG9VTeA0s1wiwyPZsj38mRWFtRHXIF56Iohpjn2Lqg/mTe+VzuuEBfzeUzaGtts6v4CytAwv9Qr&#10;w0ObQKAz861HbiPlgbKepyOTKMQ4iePSBKVf/ses59We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7nvzX2gAAAA0BAAAPAAAAAAAAAAEAIAAAACIAAABkcnMvZG93bnJldi54bWxQSwECFAAUAAAA&#10;CACHTuJAz0dWwSUCAAAiBAAADgAAAAAAAAABACAAAAApAQAAZHJzL2Uyb0RvYy54bWxQSwUGAAAA&#10;AAYABgBZAQAAwAUAAAAA&#10;">
                <v:fill on="f" focussize="0,0"/>
                <v:stroke on="f" weight="0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  <w:t>主机处理器➕固态硬盘内嵌入式处理器</w:t>
                      </w:r>
                    </w:p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lang w:eastAsia="zh-CN"/>
                        </w:rPr>
                        <w:t>应用领域：一般性（计算功能可由用户编程）数据密集型应用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NimbusRomNo9L-Medi" w:cs="Times New Roman"/>
          <w:b/>
          <w:color w:val="000000"/>
          <w:kern w:val="0"/>
          <w:sz w:val="21"/>
          <w:szCs w:val="21"/>
          <w:lang w:val="en-US" w:eastAsia="zh-CN" w:bidi="ar"/>
        </w:rPr>
        <w:t>Improving CPU I/O Performance via SSD Controller FTL Support for Batched Writes</w:t>
      </w:r>
    </w:p>
    <w:p>
      <w:pPr>
        <w:jc w:val="center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284480</wp:posOffset>
            </wp:positionH>
            <wp:positionV relativeFrom="paragraph">
              <wp:posOffset>43815</wp:posOffset>
            </wp:positionV>
            <wp:extent cx="2790825" cy="2066925"/>
            <wp:effectExtent l="0" t="0" r="9525" b="9525"/>
            <wp:wrapTight wrapText="bothSides">
              <wp:wrapPolygon>
                <wp:start x="0" y="0"/>
                <wp:lineTo x="0" y="21680"/>
                <wp:lineTo x="21679" y="21680"/>
                <wp:lineTo x="21679" y="0"/>
                <wp:lineTo x="0" y="0"/>
              </wp:wrapPolygon>
            </wp:wrapTight>
            <wp:docPr id="1" name="图片 1" descr="微信截图_2019111217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911121744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3067050</wp:posOffset>
                </wp:positionH>
                <wp:positionV relativeFrom="paragraph">
                  <wp:posOffset>29210</wp:posOffset>
                </wp:positionV>
                <wp:extent cx="2641600" cy="85915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1600" cy="85915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>可编程性：① 实现批量写接口；</w:t>
                            </w:r>
                          </w:p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 xml:space="preserve">          ② SSD内嵌入式处理器</w:t>
                            </w:r>
                          </w:p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 xml:space="preserve">          在设备端完成批量写相关</w:t>
                            </w:r>
                          </w:p>
                          <w:p>
                            <w:pPr>
                              <w:snapToGrid w:val="0"/>
                              <w:spacing w:before="0" w:line="240" w:lineRule="auto"/>
                              <w:jc w:val="both"/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lang w:eastAsia="zh-CN"/>
                              </w:rPr>
                              <w:t xml:space="preserve">          处理（数据恢复、垃圾回收）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5pt;margin-top:2.3pt;height:67.65pt;width:208pt;mso-position-horizontal-relative:margin;z-index:251659264;mso-width-relative:page;mso-height-relative:page;" filled="f" stroked="f" coordsize="21600,21600" o:gfxdata="UEsDBAoAAAAAAIdO4kAAAAAAAAAAAAAAAAAEAAAAZHJzL1BLAwQUAAAACACHTuJA7jKc89cAAAAJ&#10;AQAADwAAAGRycy9kb3ducmV2LnhtbE2PzU6EQBCE7ya+w6RNvLkDYgiwDHvYqIlZD+7KAwxML6BM&#10;D2GG/Xl725PeulKV6q/KzcWO4oSzHxwpiFcRCKTWmYE6BfXny0MGwgdNRo+OUMEVPWyq25tSF8ad&#10;aY+nQ+gEl5AvtII+hKmQ0rc9Wu1XbkJi7+hmqwPLuZNm1mcut6N8jKJUWj0Qf+j1hNse2+/DYhUs&#10;ydu12b3u9un7M3318UeNw7ZW6v4ujtYgAl7CXxh+8RkdKmZq3ELGi1HBU5bwlsBHCoL9LM9ZNxxM&#10;8hxkVcr/C6ofUEsDBBQAAAAIAIdO4kBiwHpkIQIAACEEAAAOAAAAZHJzL2Uyb0RvYy54bWytU0uO&#10;GjEQ3UfKHSzvQwMCMoNoRmRGRJFQZqRJlLVx27Ql2+XYhm5ygOQGWWWTfc7FOVJ2A0M+qygbu1xV&#10;rs+rV7Ob1miyEz4osCUd9PqUCMuhUnZT0vfvli+uKAmR2YppsKKkexHozfz5s1njpmIINehKeIJB&#10;bJg2rqR1jG5aFIHXwrDQAycsGiV4wyI+/aaoPGswutHFsN+fFA34ynngIgTU3nVGOs/xpRQ83ksZ&#10;RCS6pFhbzKfP5zqdxXzGphvPXK34sQz2D1UYpiwmPYe6Y5GRrVd/hDKKewggY4+DKUBKxUXuAbsZ&#10;9H/r5rFmTuReEJzgzjCF/xeWv909eKKqko4psczgiA5fvxy+/Th8/0zGCZ7GhSl6PTr0i+0raHHM&#10;J31AZeq6ld6kG/shaEeg92dwRRsJR+VwMhpM+mjiaLsaXw/GOXzx9Nv5EF8LMCQJJfU4vIwp261C&#10;xErQ9eSSkllYKq3zALUlTUr4ixrdtcVfqYGu0CTFdt0eu1pDtcemPHSsCI4vFWZesRAfmEcaYLFI&#10;7XiPh9SAGeAoUVKD//Q3ffLH6aCVkgZpVdLwccu8oES/sTi368FolHiYH6PxyyE+/KVlfWmxW3ML&#10;yNwBLpHjWUz+UZ9E6cF8wA1YpKxoYpZj7pLGk3gbO7LjBnGxWGSnrfNqU3cfkIWOxZV9dDyl6QBc&#10;bCNIlSFPkHU4HZFEHuZJHHcmEf3ynb2eNnv+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O4ynPPX&#10;AAAACQEAAA8AAAAAAAAAAQAgAAAAIgAAAGRycy9kb3ducmV2LnhtbFBLAQIUABQAAAAIAIdO4kBi&#10;wHpkIQIAACEEAAAOAAAAAAAAAAEAIAAAACYBAABkcnMvZTJvRG9jLnhtbFBLBQYAAAAABgAGAFkB&#10;AAC5BQAAAAAA&#10;">
                <v:fill on="f" focussize="0,0"/>
                <v:stroke on="f" weight="0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>可编程性：① 实现批量写接口；</w:t>
                      </w:r>
                    </w:p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 xml:space="preserve">          ② SSD内嵌入式处理器</w:t>
                      </w:r>
                    </w:p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 xml:space="preserve">          在设备端完成批量写相关</w:t>
                      </w:r>
                    </w:p>
                    <w:p>
                      <w:pPr>
                        <w:snapToGrid w:val="0"/>
                        <w:spacing w:before="0" w:line="240" w:lineRule="auto"/>
                        <w:jc w:val="both"/>
                        <w:rPr>
                          <w:rFonts w:hint="eastAsia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/>
                          <w:sz w:val="21"/>
                          <w:lang w:eastAsia="zh-CN"/>
                        </w:rPr>
                        <w:t xml:space="preserve">          处理（数据恢复、垃圾回收）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使用二级存储来存储数据虽成本较低（与主存存储数据相比），但由于数据访问存取的开销，其性能不佳。由此（为批量写）考虑使用日志结构存储（传统SSD未向主机端暴露布局，两者之间依赖日志地址LogAdr联系（如图，主机端：LPID→LogAdr，SSD：LogAdr→PhyAdr）），采用批量写减少I/O数量以减少数据访问存取的开销，但这引起了数据管理的开销。</w:t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开销举例如下：</w:t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映射时，主机将LPID（LPAGE ID/逻辑页ID）映射至一个基于主机的地址（图1中MenAdr），SSD将这个基于主机的地址看做逻辑地址再映射给物理地址（这一映射关系表明，SSD并不知晓主机buffer中的逻辑块信息）；</w:t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根据映射时的操作，则垃圾回收时，主机端还需回溯前次写buffer以找到有效数据的LPID以实现reloacte；</w:t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recovery时，除数据外，还需维护上述映射关系。</w:t>
      </w:r>
    </w:p>
    <w:p>
      <w:pPr>
        <w:ind w:left="0" w:leftChars="0" w:firstLine="0" w:firstLineChars="0"/>
        <w:jc w:val="both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（上述操作均存在重复：FTL执行SSD端数据恢复/GC后，主机端还需重复执行主机端相应的数据恢复/GC）</w:t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由此，在OCSSD基础上使用一种适用于批量处理的接口（batch-at-a-time），使其能减少各类开销，提高性能。</w:t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（因OCSSD将SSD信息暴露给主机端，则以下可行）</w:t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主机端将存储设备视为一系列固定大小的逻辑页（LPAGE），其由LPID标识。LPAGEs被写入buffer中（buffer大小为256-512个块大小），I/O批量处理整个buffer。buffer中第一个块中存储有描述buffer中各LPAGE的元数据（DESC），DESC包含buffer中包含的各逻辑块及偏移量（&lt;LPID,offset&gt;）。</w:t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由此可使用DESC与LPID在SSD与主机间建立联系，将映射关系简化：</w:t>
      </w:r>
    </w:p>
    <w:p>
      <w:p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3967480" cy="866775"/>
            <wp:effectExtent l="0" t="0" r="13970" b="9525"/>
            <wp:docPr id="2" name="图片 2" descr="QQ截图20191113134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11131344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recovery采用日志，在将数据写入物理地址之前，先由DESC创建RDESC，并将其加入SSD的恢复日志中。DESC与LPID相关联，LPID又在映射中与物理地址相关联，由此关联关系，RDESC可用于恢复。（会产生一定延迟，因为写数据前需先写恢复日志）</w:t>
      </w:r>
    </w:p>
    <w:p>
      <w:pPr>
        <w:jc w:val="center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drawing>
          <wp:inline distT="0" distB="0" distL="114300" distR="114300">
            <wp:extent cx="2560320" cy="1012190"/>
            <wp:effectExtent l="0" t="0" r="11430" b="16510"/>
            <wp:docPr id="3" name="图片 3" descr="QQ截图20191113161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911131619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需要注意的是，RDESC仅用于恢复MAP，因其中不包括数据，不能rewrite。可通过读取物理地址中数据来检查是否已经成功写入了。采用多线程写数据以减少延迟，采用单线程更新RDESC中MAP。</w:t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若有写失败，则需将其重写至其他地址。创建一个修订日志记录</w:t>
      </w:r>
      <w:bookmarkStart w:id="0" w:name="OLE_LINK1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RDESC</w:t>
      </w: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A</w:t>
      </w:r>
      <w:bookmarkEnd w:id="0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，其形式与RDESC一致，但仅包括写失败的LPID。</w:t>
      </w:r>
      <w:bookmarkStart w:id="1" w:name="OLE_LINK2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RDECS</w:t>
      </w: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A</w:t>
      </w:r>
      <w:bookmarkEnd w:id="1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也在写数据前写入SSD的恢复日志中。若RDESC</w:t>
      </w: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A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其中的写仍失败则不断创建RDESC</w:t>
      </w: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A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直至完全写成功。完全写成功后才能更新MAP，更新MAP成功后返回确认ACK。</w:t>
      </w:r>
    </w:p>
    <w:p>
      <w:pPr>
        <w:jc w:val="both"/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（recovery时三者的顺序：log(RDESC/RDESC</w:t>
      </w:r>
      <w:r>
        <w:rPr>
          <w:rFonts w:hint="eastAsia" w:ascii="Times New Roman" w:hAnsi="Times New Roman" w:cs="Times New Roman"/>
          <w:b/>
          <w:bCs/>
          <w:sz w:val="13"/>
          <w:szCs w:val="13"/>
          <w:lang w:val="en-US" w:eastAsia="zh-CN"/>
        </w:rPr>
        <w:t>A</w:t>
      </w:r>
      <w:r>
        <w:rPr>
          <w:rFonts w:hint="eastAsia" w:ascii="Times New Roman" w:hAnsi="Times New Roman" w:cs="Times New Roman"/>
          <w:b/>
          <w:bCs/>
          <w:sz w:val="21"/>
          <w:szCs w:val="21"/>
          <w:lang w:val="en-US" w:eastAsia="zh-CN"/>
        </w:rPr>
        <w:t>)→写数据→更新MAP）</w:t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上述过程仍存在一个问题，对于RDESC中的写是否已经成功，只能通过依次读取物理地址的数据来检查，如此的成本很高。引入done记录，若RDESC中已完全更新，则打上done以进行标识。</w:t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日志空间一般都是物理上连续的，但对于那些逻辑上连续的日志，为使RDESC的写入快速且持久，采用</w:t>
      </w:r>
      <w:bookmarkStart w:id="2" w:name="OLE_LINK3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FORWARD</w:t>
      </w:r>
      <w:bookmarkEnd w:id="2"/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（后继块）/back（前块）链接保证日志空间的有序性。</w:t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日志可能写入失败，各RDESC采用一个FORWARD链接的有序向量，向量大小（即日志可写入的块的数量）由一参数设定，日志写失败会触发重写，直至有序向量大小所表示的可写入块的数量耗尽。</w:t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日志除当前写入的新物理位置之外，还记录有之前各次写入的物理位置，这有利于垃圾回收（即垃圾回收时也可使用同一日志进行）。</w:t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垃圾回收机制采用一个全局比特向量GBITV记录各EBLOCK（即擦除单位：块）中有效RBLOCK（即读取单位：页面），通过各RBLOCK的TAG标志可关联其对应LPID，进而在数据迁移后更新MAP。这一过程可直接由SSD实现，能够避免主机回溯控制器DRAM中的整个EBLOCK。</w:t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垃圾回收机制同时也采用冷热数据区分以提高效率。</w:t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仍存在问题：若做GC的EBLOCK包含日志，则还未能实现在迁移的同时实现link链表的简单操作。</w:t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</w:p>
    <w:p>
      <w:pPr>
        <w:ind w:left="0" w:leftChars="0" w:firstLine="0" w:firstLineChars="0"/>
        <w:jc w:val="both"/>
        <w:rPr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  <w:t>Summary：</w:t>
      </w:r>
    </w:p>
    <w:p>
      <w:p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Microsoft Research proposed a </w:t>
      </w:r>
      <w:bookmarkStart w:id="3" w:name="OLE_LINK5"/>
      <w:r>
        <w:rPr>
          <w:rFonts w:hint="eastAsia"/>
          <w:color w:val="FF0000"/>
          <w:lang w:val="en-US" w:eastAsia="zh-CN"/>
        </w:rPr>
        <w:t>programmable SSD</w:t>
      </w:r>
      <w:bookmarkEnd w:id="3"/>
      <w:r>
        <w:rPr>
          <w:rFonts w:hint="eastAsia"/>
          <w:color w:val="FF0000"/>
          <w:lang w:val="en-US" w:eastAsia="zh-CN"/>
        </w:rPr>
        <w:t xml:space="preserve"> in 2019 to achieve great performance via SSD controller FTL support for batched writes in context of open-channel SSD</w:t>
      </w:r>
      <w:r>
        <w:rPr>
          <w:rFonts w:hint="eastAsia"/>
          <w:color w:val="FF0000"/>
          <w:lang w:val="en-US" w:eastAsia="zh-CN"/>
        </w:rPr>
        <w:t xml:space="preserve"> and built it based on the </w:t>
      </w:r>
      <w:r>
        <w:rPr>
          <w:rFonts w:hint="default"/>
          <w:color w:val="FF0000"/>
          <w:lang w:val="en-US" w:eastAsia="zh-CN"/>
        </w:rPr>
        <w:t>Dragon Fire Card</w:t>
      </w:r>
      <w:r>
        <w:rPr>
          <w:rFonts w:hint="eastAsia"/>
          <w:color w:val="FF0000"/>
          <w:lang w:val="en-US" w:eastAsia="zh-CN"/>
        </w:rPr>
        <w:t xml:space="preserve"> (DFC). Programmable SSD changes the current block-at-a-time interface to the batch-at-a-time interface and exploits a new FTL that supports </w:t>
      </w:r>
      <w:r>
        <w:rPr>
          <w:rFonts w:hint="default"/>
          <w:color w:val="FF0000"/>
          <w:lang w:val="en-US" w:eastAsia="zh-CN"/>
        </w:rPr>
        <w:t xml:space="preserve">multi-page I/O </w:t>
      </w:r>
      <w:r>
        <w:rPr>
          <w:rFonts w:hint="eastAsia"/>
          <w:color w:val="FF0000"/>
          <w:lang w:val="en-US" w:eastAsia="zh-CN"/>
        </w:rPr>
        <w:t xml:space="preserve">functionality </w:t>
      </w:r>
      <w:r>
        <w:rPr>
          <w:rFonts w:hint="default"/>
          <w:color w:val="FF0000"/>
          <w:lang w:val="en-US" w:eastAsia="zh-CN"/>
        </w:rPr>
        <w:t>without host-based log structuring</w:t>
      </w:r>
      <w:r>
        <w:rPr>
          <w:rFonts w:hint="eastAsia"/>
          <w:color w:val="FF0000"/>
          <w:lang w:val="en-US" w:eastAsia="zh-CN"/>
        </w:rPr>
        <w:t xml:space="preserve"> in </w:t>
      </w:r>
      <w:r>
        <w:rPr>
          <w:rFonts w:hint="default"/>
          <w:color w:val="FF0000"/>
          <w:lang w:val="en-US" w:eastAsia="zh-CN"/>
        </w:rPr>
        <w:t>a controller for an Open Channel SSD</w:t>
      </w:r>
      <w:r>
        <w:rPr>
          <w:rFonts w:hint="eastAsia"/>
          <w:color w:val="FF0000"/>
          <w:lang w:val="en-US" w:eastAsia="zh-CN"/>
        </w:rPr>
        <w:t xml:space="preserve">, accelerating data </w:t>
      </w:r>
      <w:r>
        <w:rPr>
          <w:rFonts w:hint="default"/>
          <w:color w:val="FF0000"/>
          <w:lang w:val="en-US" w:eastAsia="zh-CN"/>
        </w:rPr>
        <w:t>accessing</w:t>
      </w:r>
      <w:r>
        <w:rPr>
          <w:rFonts w:hint="eastAsia"/>
          <w:color w:val="FF0000"/>
          <w:lang w:val="en-US" w:eastAsia="zh-CN"/>
        </w:rPr>
        <w:t xml:space="preserve"> and improving I/O cost/performance by batching writes. Evaluations show that programmable SSD is between 1.91x - 2.49x faster than conventional SSD with both GC and checkpointing enabled.</w:t>
      </w:r>
    </w:p>
    <w:p>
      <w:pPr>
        <w:snapToGrid w:val="0"/>
        <w:spacing w:before="0" w:line="240" w:lineRule="auto"/>
        <w:jc w:val="both"/>
        <w:rPr>
          <w:rFonts w:hint="eastAsia"/>
          <w:color w:val="FF0000"/>
          <w:sz w:val="21"/>
          <w:lang w:eastAsia="zh-CN"/>
        </w:rPr>
      </w:pPr>
      <w:r>
        <w:rPr>
          <w:rFonts w:hint="eastAsia"/>
          <w:color w:val="FF0000"/>
          <w:sz w:val="21"/>
          <w:lang w:eastAsia="zh-CN"/>
        </w:rPr>
        <w:t xml:space="preserve">    利用OCSSD开放性，改造FTL和接口，设备端利用日志结构构造映射，通过批量写降低数据迁移开销                             (RDESC/RDESC</w:t>
      </w:r>
      <w:r>
        <w:rPr>
          <w:rFonts w:hint="eastAsia"/>
          <w:color w:val="FF0000"/>
          <w:sz w:val="15"/>
          <w:szCs w:val="15"/>
          <w:lang w:eastAsia="zh-CN"/>
        </w:rPr>
        <w:t>A</w:t>
      </w:r>
      <w:r>
        <w:rPr>
          <w:rFonts w:hint="eastAsia"/>
          <w:color w:val="FF0000"/>
          <w:sz w:val="21"/>
          <w:lang w:eastAsia="zh-CN"/>
        </w:rPr>
        <w:t>)</w:t>
      </w:r>
    </w:p>
    <w:p>
      <w:pPr>
        <w:ind w:left="0" w:leftChars="0" w:firstLine="0" w:firstLineChars="0"/>
        <w:jc w:val="both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lang w:eastAsia="zh-CN"/>
        </w:rPr>
        <w:t>（此与NSC“数据迁移开销大”的动机对应）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LinBiolinumT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lam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nhem-Blon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Libertin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2019-11-14T09:34:00Z</dcterms:created>
  <dc:creator>apple</dc:creator>
  <cp:lastModifiedBy>iPad (2)</cp:lastModifiedBy>
  <dcterms:modified xsi:type="dcterms:W3CDTF">2020-04-09T16:34:11Z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2052-10.7.1</vt:lpwstr>
  </property>
</Properties>
</file>