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NimbusRomNo9L-Medi" w:cs="Times New Roman"/>
          <w:b/>
          <w:color w:val="000000"/>
          <w:kern w:val="0"/>
          <w:sz w:val="28"/>
          <w:szCs w:val="28"/>
          <w:lang w:val="en-US" w:eastAsia="zh-CN" w:bidi="ar"/>
        </w:rPr>
      </w:pPr>
      <w:bookmarkStart w:id="0" w:name="OLE_LINK1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-871220</wp:posOffset>
                </wp:positionH>
                <wp:positionV relativeFrom="paragraph">
                  <wp:posOffset>-697230</wp:posOffset>
                </wp:positionV>
                <wp:extent cx="3755390" cy="15824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15824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  <w:t>主机处理器➕固态硬盘嵌入式处理器</w:t>
                            </w:r>
                          </w:p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  <w:t>应用领域：数据库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6pt;margin-top:-54.9pt;height:124.6pt;width:295.7pt;mso-position-horizontal-relative:margin;z-index:251658240;mso-width-relative:page;mso-height-relative:page;" filled="f" stroked="f" coordsize="21600,21600" o:gfxdata="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t&#10;lVLd2gAAAA0BAAAPAAAAAAAAAAEAIAAAACIAAABkcnMvZG93bnJldi54bWxQSwECFAAUAAAACACH&#10;TuJAE5JMDiICAAAiBAAADgAAAAAAAAABACAAAAApAQAAZHJzL2Uyb0RvYy54bWxQSwUGAAAAAAYA&#10;BgBZAQAAvQUAAAAA&#10;">
                <v:fill on="f" focussize="0,0"/>
                <v:stroke on="f" weight="0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  <w:t>主机处理器➕固态硬盘嵌入式处理器</w:t>
                      </w:r>
                    </w:p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  <w:t>应用领域：数据库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NimbusRomNo9L-Medi" w:cs="Times New Roman"/>
          <w:b/>
          <w:color w:val="000000"/>
          <w:kern w:val="0"/>
          <w:sz w:val="28"/>
          <w:szCs w:val="28"/>
          <w:lang w:val="en-US" w:eastAsia="zh-CN" w:bidi="ar"/>
        </w:rPr>
        <w:t>Query Processing on Smart SSDs</w:t>
      </w:r>
      <w:bookmarkEnd w:id="0"/>
      <w:r>
        <w:rPr>
          <w:rFonts w:hint="default" w:ascii="Times New Roman" w:hAnsi="Times New Roman" w:eastAsia="NimbusRomNo9L-Medi" w:cs="Times New Roman"/>
          <w:b/>
          <w:color w:val="000000"/>
          <w:kern w:val="0"/>
          <w:sz w:val="28"/>
          <w:szCs w:val="28"/>
          <w:lang w:val="en-US" w:eastAsia="zh-CN" w:bidi="ar"/>
        </w:rPr>
        <w:t>: Opportunities and Challenges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【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Abstract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Smart SSD将CPU处理能力与DRAM存储能力共同包含在内，并使得在其中运行用户程序成为可能。（SmartSSD具体见论文Enabling Cost-effective Data Processing with Smart SSD）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本文旨在研究将上述功能运用于相关的解析查询处理（其作用是：通过各级处理缓存，将数据从主存中移出）之中所需面临的机会和挑战。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研究表明，将所选的查询处理原件植入Smart SSD中能够获得客观的性能提升和能耗下降。同时，本文还为SSD设备制造商确定了一些改变，以使其能够更好的在数据处理应用中利用Smart SSD；本文同时也为数据库界提供了可能的研究机会。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bookmarkStart w:id="1" w:name="OLE_LINK3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【Introduction】</w:t>
      </w:r>
    </w:p>
    <w:bookmarkEnd w:id="1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将程序代码移近数据相较于将数据移近程序代码来说是更加有效的。早期硬件边界严格，为使数据流更高效，常应用预取等机制。现今存储与处理边界愈加模糊，故提出Smart SSD的想法。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Smart SSD的机会：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①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SSD的内部带宽远远大于IO接口（SAS/SATA）所支持的带宽，且这一差距将越来越大，这意味着将程序代码移近数据将带来性能的提升。目前所应用的技术均是在IO子系统上附加处理硬件，而Smart SSD是直接在SSD内部包含有处理部件。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②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若在Smart SSD内部进行计算，则会降低主机端的处理能耗（换句话说，这提高了服务器/应用有效计算所消耗的能耗占比），由此，使用Smart SSD的服务器可以使用价格较低的ARM作为处理器，同时收获价格及性能的优待。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③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通过降低查询处理的运行时间（代码靠近数据，运行时间自然会短）或在Smart SSD中能耗较低的处理器中运行查询处理，能够有效降低应用能耗。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文章在Samsung Smart SSD上扩展Microsoft SQL Server，编写了简单的选择和聚合操作符并将其编译到SSD的固件中，还扩展了SQL Server的执行框架，以开发一个简单(但功能有限)的工作原型，使其可以运行简单的选择和聚合查询。实验结果表明，性能提升2.7x，能耗节省3.0x。同时也揭示了以下挑战：文章添加到Smart SSD中的处理功能还太简略（更多的功能添加还需硬件制造商和软件开发商的进一步考察认可，本文或可提供有效参考）；支持</w:t>
      </w:r>
      <w:bookmarkStart w:id="2" w:name="OLE_LINK2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Smart SSD</w:t>
      </w:r>
      <w:bookmarkEnd w:id="2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的固件开发流程需随之更新；DBMS内部必须进行修改，以便在生产环境中使用Smart SSD。（挑战与前景相见第六章第二段）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【Smart SSD】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>Communication Protocol</w:t>
      </w:r>
      <w:r>
        <w:rPr>
          <w:rFonts w:hint="eastAsia" w:ascii="Times New Roman" w:hAnsi="Times New Roman" w:cs="Times New Roman"/>
          <w:sz w:val="21"/>
          <w:szCs w:val="21"/>
          <w:u w:val="none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>指令传递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为使处理功能能够得以运行，需要以会话为基础的协议，其包含3个指令：</w:t>
      </w:r>
      <w:bookmarkStart w:id="3" w:name="OLE_LINK4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OPEN/CLOSE</w:t>
      </w:r>
      <w:bookmarkEnd w:id="3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/GET。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OPEN/CLOSE：会话以OPEN开始，以CLOSE结束。会话开始后，运行用户程序所需的运行时资源（如线程和存储空间）会被授权，且会返回给主机一个唯一的会话ID；CLOSE关闭会话后，所有程序终止运行且其所用资源均被释放。需要注意的是，OPEN后，再使用GET/CLOSE指令时，需根据会话ID进行匹配，匹配成功后该指令才可执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GET：主机检测程序状态，且若有输出的结果，也同时进行检索。通过各自不同的会话ID，多个用户程序可并行执行。需要注意的是，若无可用资源，该程序可能被阻塞。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>API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sz w:val="21"/>
          <w:szCs w:val="21"/>
          <w:u w:val="single"/>
          <w:lang w:val="en-US" w:eastAsia="zh-CN"/>
        </w:rPr>
        <w:t>指令/线程/内存/数据管理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指令API：在协议中各指令传递至设备端时，Smart SSD运行时系统唤醒由用户程序注册的对应的回调函数以执行相应功能。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线程API：会话开启时即创造所需线程，指令到达后才会排定线程（线程是非先发的）。线程一旦被排定，其上便会唤醒相应的回调函数。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内存API：会话开启时会为会话分配预定份额的内存空间，会话结束时将其收回。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数据API：多个数据页可并行由flash上载至DRAM。一旦上载至DRAM即被固定，待处理后才会被释放，以储备足够后续操作进行的内存空间（否则后续操作会被阻塞）。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  <w:t>Summary：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Times New Roman"/>
          <w:color w:val="FF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Cs w:val="21"/>
          <w:lang w:eastAsia="zh-CN"/>
        </w:rPr>
        <w:t xml:space="preserve">    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美国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>威斯康星大学麦迪逊分校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，三星微电子和微软于2013年在Smart</w:t>
      </w:r>
      <w:r>
        <w:rPr>
          <w:rFonts w:ascii="Times New Roman" w:hAnsi="Times New Roman" w:eastAsia="宋体" w:cs="Times New Roman"/>
          <w:color w:val="FF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</w:rPr>
        <w:t>SSD基础上，利用Smart SSD实现对微软SQL Server查询功能的加速，同时降低了功耗开销。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Times New Roman"/>
          <w:color w:val="FF0000"/>
          <w:kern w:val="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Times New Roman"/>
          <w:color w:val="FF0000"/>
          <w:kern w:val="0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Cs w:val="21"/>
          <w:lang w:eastAsia="zh-CN"/>
        </w:rPr>
        <w:t>后附另一篇Smart SSD上的应用：（list intersection）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Times New Roman"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Cs w:val="21"/>
          <w:lang w:eastAsia="zh-CN"/>
        </w:rPr>
        <w:t>SSD In-Storage Computing for List I</w:t>
      </w:r>
      <w:bookmarkStart w:id="4" w:name="_GoBack"/>
      <w:bookmarkEnd w:id="4"/>
      <w:r>
        <w:rPr>
          <w:rFonts w:hint="eastAsia" w:ascii="Times New Roman" w:hAnsi="Times New Roman" w:eastAsia="宋体" w:cs="Times New Roman"/>
          <w:color w:val="FF0000"/>
          <w:kern w:val="0"/>
          <w:szCs w:val="21"/>
          <w:lang w:eastAsia="zh-CN"/>
        </w:rPr>
        <w:t>ntersection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SimHei"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2019-10-09T05:48:00Z</dcterms:created>
  <dc:creator>shuhanbai2</dc:creator>
  <cp:lastModifiedBy>iPad (2)</cp:lastModifiedBy>
  <dcterms:modified xsi:type="dcterms:W3CDTF">2020-04-02T15:32:29Z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2052-10.7.1</vt:lpwstr>
  </property>
</Properties>
</file>