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mace组与非mace一般资料对比 （表1）</w:t>
      </w:r>
    </w:p>
    <w:p>
      <w:pPr>
        <w:ind w:left="360"/>
      </w:pPr>
      <w:bookmarkStart w:id="0" w:name="_Hlk175926180"/>
      <w:r>
        <w:rPr>
          <w:rFonts w:hint="eastAsia"/>
        </w:rPr>
        <w:t>脑血管病、</w:t>
      </w:r>
      <w:r>
        <w:rPr>
          <w:rFonts w:hint="eastAsia"/>
          <w:highlight w:val="yellow"/>
        </w:rPr>
        <w:t>糖尿病</w:t>
      </w:r>
      <w:r>
        <w:rPr>
          <w:rFonts w:hint="eastAsia"/>
        </w:rPr>
        <w:t>、心功能，心率、</w:t>
      </w:r>
      <w:r>
        <w:rPr>
          <w:rFonts w:hint="eastAsia"/>
          <w:highlight w:val="yellow"/>
        </w:rPr>
        <w:t>LDL-C、HDL-C</w:t>
      </w:r>
      <w:r>
        <w:rPr>
          <w:rFonts w:hint="eastAsia"/>
        </w:rPr>
        <w:t>、</w:t>
      </w:r>
      <w:r>
        <w:rPr>
          <w:rFonts w:hint="eastAsia"/>
          <w:highlight w:val="yellow"/>
        </w:rPr>
        <w:t>FBG</w:t>
      </w:r>
      <w:r>
        <w:rPr>
          <w:rFonts w:hint="eastAsia"/>
        </w:rPr>
        <w:t>、CK-MB、TG、肌钙蛋白I、肌钙蛋白T、肌红蛋白、</w:t>
      </w:r>
      <w:r>
        <w:rPr>
          <w:rFonts w:hint="eastAsia"/>
          <w:highlight w:val="yellow"/>
        </w:rPr>
        <w:t>糖化血红蛋白</w:t>
      </w:r>
      <w:r>
        <w:rPr>
          <w:rFonts w:hint="eastAsia"/>
        </w:rPr>
        <w:t>、NT-proBNP、L</w:t>
      </w:r>
      <w:r>
        <w:rPr>
          <w:rFonts w:hint="eastAsia"/>
          <w:highlight w:val="yellow"/>
        </w:rPr>
        <w:t>VEF、TyG指数、TG/HDL</w:t>
      </w:r>
      <w:bookmarkEnd w:id="0"/>
      <w:r>
        <w:rPr>
          <w:rFonts w:hint="eastAsia"/>
        </w:rPr>
        <w:t>。P＜0.05</w:t>
      </w:r>
    </w:p>
    <w:p>
      <w:pPr>
        <w:ind w:left="360"/>
        <w:rPr>
          <w:rFonts w:hint="eastAsia"/>
        </w:rPr>
      </w:pPr>
      <w:r>
        <w:rPr>
          <w:rFonts w:hint="eastAsia"/>
        </w:rPr>
        <w:t>表1</w:t>
      </w:r>
      <w:r>
        <w:rPr>
          <w:rFonts w:hint="eastAsia"/>
          <w:b/>
          <w:bCs/>
        </w:rPr>
        <w:t xml:space="preserve"> MACE组与非MACE组患者一般资料对比</w:t>
      </w:r>
    </w:p>
    <w:tbl>
      <w:tblPr>
        <w:tblStyle w:val="18"/>
        <w:tblW w:w="10075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688"/>
        <w:gridCol w:w="2415"/>
        <w:gridCol w:w="1068"/>
        <w:gridCol w:w="13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hint="eastAsia" w:ascii="Times New Roman" w:hAnsi="Times New Roman"/>
                <w:b/>
                <w:bCs/>
                <w:i w:val="0"/>
              </w:rPr>
              <w:t>指标</w:t>
            </w:r>
          </w:p>
        </w:tc>
        <w:tc>
          <w:tcPr>
            <w:tcW w:w="268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/>
                <w:bCs/>
                <w:i w:val="0"/>
              </w:rPr>
            </w:pPr>
            <w:r>
              <w:rPr>
                <w:rFonts w:hint="eastAsia" w:ascii="Times New Roman" w:hAnsi="Times New Roman"/>
                <w:b/>
                <w:bCs/>
                <w:i w:val="0"/>
              </w:rPr>
              <w:t>mace(n=59)</w:t>
            </w:r>
          </w:p>
        </w:tc>
        <w:tc>
          <w:tcPr>
            <w:tcW w:w="2415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hint="eastAsia" w:ascii="Times New Roman" w:hAnsi="Times New Roman"/>
                <w:b/>
                <w:bCs/>
                <w:i w:val="0"/>
              </w:rPr>
              <w:t>非mace(n=401)</w:t>
            </w:r>
          </w:p>
        </w:tc>
        <w:tc>
          <w:tcPr>
            <w:tcW w:w="106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/>
                <w:bCs/>
                <w:i w:val="0"/>
              </w:rPr>
            </w:pPr>
          </w:p>
        </w:tc>
        <w:tc>
          <w:tcPr>
            <w:tcW w:w="1352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hint="eastAsia" w:ascii="Times New Roman" w:hAnsi="Times New Roman"/>
                <w:b/>
                <w:bCs/>
                <w:i w:val="0"/>
              </w:rPr>
              <w:t>p-value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spacing w:before="156" w:beforeLines="50" w:after="156" w:afterLines="50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人口学信息资料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年龄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66.0(63.97,72.03)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66.77(63.0,71.0)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12434.5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0.526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性别（男性）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77.97%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77.31%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吸烟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35.59%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38.4%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0.0738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0.7859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高血压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72.88%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64.34%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1.3031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0.2536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糖尿病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49.15%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33.17%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5.0813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脑血管病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16.95%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5.99%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7.5018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0.0062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冠心病病史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8.47%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5.74%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0.2808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0.5961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spacing w:before="156" w:beforeLines="50" w:after="156" w:afterLines="50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临床资料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收缩压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116.0(104.0,124.5)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120.0(110.0,132.0)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10366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0.1245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舒张压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70.0(62.5,80.0)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70.0(65.0,80.0)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11160.5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0.4813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心率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80.0(70.0,88.5)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71.0(65.0,80.0)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14924.5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LDL-C(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3.09±0.97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2.59±0.91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3.8444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bookmarkStart w:id="1" w:name="_Hlk174966974"/>
            <w:r>
              <w:rPr>
                <w:rFonts w:hint="eastAsia" w:ascii="Times New Roman" w:hAnsi="Times New Roman" w:eastAsia="宋体"/>
                <w:color w:val="000000"/>
                <w:sz w:val="22"/>
              </w:rPr>
              <w:t>HDL-C(</w:t>
            </w:r>
            <w:bookmarkEnd w:id="1"/>
            <w:r>
              <w:rPr>
                <w:rFonts w:hint="eastAsia" w:ascii="Times New Roman" w:hAnsi="Times New Roman" w:eastAsia="宋体"/>
                <w:color w:val="000000"/>
                <w:sz w:val="22"/>
              </w:rPr>
              <w:t xml:space="preserve">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1.25±0.31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0.94±0.29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7.6594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TC(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4.11(3.67,5.13)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4.36(3.7,5.06)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11461.5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0.6999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TG(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1.77(1.32,2.29)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0.92(0.42,1.63)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17825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FBG(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7.46(6.1,9.45)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6.57(5.41,8.6)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14909.5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宋体"/>
              </w:rPr>
            </w:pPr>
            <w:bookmarkStart w:id="2" w:name="_Hlk176176381"/>
            <w:r>
              <w:rPr>
                <w:rFonts w:hint="eastAsia" w:ascii="Times New Roman" w:hAnsi="Times New Roman" w:eastAsia="宋体" w:cs="宋体"/>
              </w:rPr>
              <w:t>HbA1C</w:t>
            </w:r>
            <w:bookmarkEnd w:id="2"/>
            <w:r>
              <w:rPr>
                <w:rFonts w:hint="eastAsia" w:ascii="Times New Roman" w:hAnsi="Times New Roman" w:eastAsia="宋体" w:cs="宋体"/>
              </w:rPr>
              <w:t>（%）</w:t>
            </w:r>
          </w:p>
        </w:tc>
        <w:tc>
          <w:tcPr>
            <w:tcW w:w="2688" w:type="dxa"/>
            <w:shd w:val="clear" w:color="auto" w:fill="auto"/>
          </w:tcPr>
          <w:p>
            <w:pPr>
              <w:widowControl/>
              <w:rPr>
                <w:rFonts w:hint="eastAsia" w:ascii="宋体" w:hAnsi="宋体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7.24(6.0,7.24)</w:t>
            </w:r>
          </w:p>
        </w:tc>
        <w:tc>
          <w:tcPr>
            <w:tcW w:w="2415" w:type="dxa"/>
            <w:shd w:val="clear" w:color="auto" w:fill="auto"/>
          </w:tcPr>
          <w:p>
            <w:pPr>
              <w:widowControl/>
              <w:rPr>
                <w:rFonts w:hint="eastAsia" w:ascii="宋体" w:hAnsi="宋体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6.71(5.8,6.9)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9469.5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0.0104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Cr(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84.4(68.5,103.34)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80.1(67.6,99.34)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12602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0.4181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Hb（g·mL-1）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142.0(131.5,149.0)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142.0(132.0,151.0)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11486.5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0.7193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CK-MB</w:t>
            </w:r>
            <w:r>
              <w:rPr>
                <w:rFonts w:hint="eastAsia"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</w:rPr>
              <w:t>（</w:t>
            </w: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ng·mL-1</w:t>
            </w:r>
            <w:r>
              <w:rPr>
                <w:rFonts w:hint="eastAsia" w:ascii="Times New Roman" w:hAnsi="Times New Roman" w:eastAsia="宋体" w:cs="宋体"/>
              </w:rPr>
              <w:t>）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155.0(49.64,299.0)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102.0(17.7,224.08)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14244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0.0113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bookmarkStart w:id="3" w:name="_Hlk174826736"/>
            <w:r>
              <w:rPr>
                <w:rFonts w:hint="eastAsia" w:ascii="Times New Roman" w:hAnsi="Times New Roman" w:eastAsia="宋体"/>
                <w:color w:val="000000"/>
                <w:sz w:val="22"/>
              </w:rPr>
              <w:t>肌钙蛋白I</w:t>
            </w:r>
            <w:r>
              <w:rPr>
                <w:rFonts w:hint="eastAsia" w:ascii="Times New Roman" w:hAnsi="Times New Roman" w:eastAsia="宋体" w:cs="宋体"/>
                <w:color w:val="000000"/>
                <w:sz w:val="22"/>
              </w:rPr>
              <w:t>（</w:t>
            </w: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pg·mL-1</w:t>
            </w:r>
            <w:r>
              <w:rPr>
                <w:rFonts w:hint="eastAsia" w:ascii="Times New Roman" w:hAnsi="Times New Roman" w:eastAsia="宋体" w:cs="宋体"/>
                <w:color w:val="000000"/>
                <w:sz w:val="22"/>
              </w:rPr>
              <w:t>）</w:t>
            </w:r>
            <w:bookmarkEnd w:id="3"/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55.61(13.18,102.0)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33.0(3.53,102.0)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13381.5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0.103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肌钙蛋白T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501.5(501.5,501.5)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496.42(496.42,496.42)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22974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MYO</w:t>
            </w:r>
            <w:r>
              <w:rPr>
                <w:rFonts w:hint="eastAsia" w:ascii="Times New Roman" w:hAnsi="Times New Roman" w:eastAsia="宋体" w:cs="宋体"/>
              </w:rPr>
              <w:t>（</w:t>
            </w: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ng·mL-1</w:t>
            </w:r>
            <w:r>
              <w:rPr>
                <w:rFonts w:hint="eastAsia" w:ascii="Times New Roman" w:hAnsi="Times New Roman" w:eastAsia="宋体" w:cs="宋体"/>
              </w:rPr>
              <w:t>）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712.64(599.85,712.64)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388.26(194.0,388.26)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18250.5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NT-proBNP( pg·mL-1 )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5645.57(5645.57,5645.57)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610.02(610.02,610.02)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21261</w:t>
            </w: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bookmarkStart w:id="4" w:name="_Hlk174826789"/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TyG指数</w:t>
            </w:r>
            <w:bookmarkEnd w:id="4"/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9.31(8.95,9.65)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8.51(7.73,9.19)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18204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TG/HDL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1.43(1.04,2.05)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1.03(0.46,1.92)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14836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0.0016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LVEF(%)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48.0(41.0,53.0)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53.77(50.0,58.0)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6797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行PCI</w:t>
            </w:r>
            <w: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89.83%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91.77%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0.5244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0.469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分型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STEMI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91.53%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91.77%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NSTEMI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6.78</w:t>
            </w:r>
            <w:r>
              <w:rPr>
                <w:rFonts w:ascii="Times New Roman" w:hAnsi="Times New Roman" w:eastAsia="宋体"/>
                <w:color w:val="000000"/>
                <w:sz w:val="22"/>
              </w:rPr>
              <w:t>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8.23%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UAP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1.69%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0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K</w:t>
            </w:r>
            <w:r>
              <w:rPr>
                <w:rFonts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illip</w:t>
            </w: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分级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52.4801</w:t>
            </w: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I级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50.85%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11.97%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bookmarkStart w:id="5" w:name="_Hlk174961004"/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II-III级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5</w:t>
            </w:r>
            <w:r>
              <w:rPr>
                <w:rFonts w:ascii="Times New Roman" w:hAnsi="Times New Roman" w:eastAsia="宋体"/>
              </w:rPr>
              <w:t>8.74%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  <w:r>
              <w:rPr>
                <w:rFonts w:ascii="Times New Roman" w:hAnsi="Times New Roman" w:eastAsia="宋体"/>
              </w:rPr>
              <w:t>0.49%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bookmarkEnd w:id="5"/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血管病变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1.8187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0.4028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单支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83.05%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89.03%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双支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6.78%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4.74%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多支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10.17%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6.23%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TyG 指数水平与 老年ACS 患者院内MACE发生风险的相关性</w:t>
      </w:r>
    </w:p>
    <w:p>
      <w:pPr>
        <w:pStyle w:val="21"/>
        <w:ind w:left="360" w:firstLine="0" w:firstLineChars="0"/>
        <w:rPr>
          <w:szCs w:val="21"/>
        </w:rPr>
      </w:pPr>
      <w:r>
        <w:rPr>
          <w:rFonts w:hint="eastAsia"/>
          <w:szCs w:val="21"/>
        </w:rPr>
        <w:t>以 老年ACS患者是否发生 院内MACE为因变量（赋值：否 =0，是 =1），以TyG 指数水平为自变量Logistic 回归分析</w:t>
      </w:r>
      <w:r>
        <w:rPr>
          <w:rFonts w:hint="eastAsia"/>
          <w:szCs w:val="21"/>
          <w:highlight w:val="yellow"/>
        </w:rPr>
        <w:t>结果显示，模型 1 未调整混杂因素，模型2调整了</w:t>
      </w:r>
      <w:r>
        <w:rPr>
          <w:rFonts w:hint="eastAsia"/>
        </w:rPr>
        <w:t>年龄、性别、BMI、吸烟史、饮酒史</w:t>
      </w:r>
      <w:r>
        <w:rPr>
          <w:rFonts w:hint="eastAsia"/>
          <w:szCs w:val="21"/>
          <w:highlight w:val="yellow"/>
        </w:rPr>
        <w:t>，（表2）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这种关系在统计学上仍然显著</w:t>
      </w:r>
    </w:p>
    <w:p>
      <w:pPr>
        <w:pStyle w:val="21"/>
        <w:ind w:left="360" w:firstLine="0" w:firstLineChars="0"/>
        <w:rPr>
          <w:rFonts w:hint="eastAsia"/>
          <w:b/>
          <w:bCs/>
        </w:rPr>
      </w:pPr>
      <w:r>
        <w:rPr>
          <w:rFonts w:hint="eastAsia"/>
        </w:rPr>
        <w:t xml:space="preserve">表2 </w:t>
      </w:r>
      <w:r>
        <w:rPr>
          <w:rFonts w:hint="eastAsia"/>
          <w:b/>
          <w:bCs/>
        </w:rPr>
        <w:t>TyG 指数水平与 老年ACS 患者院内MACE发生风险的相关性的Logistic 回归分析</w:t>
      </w:r>
    </w:p>
    <w:tbl>
      <w:tblPr>
        <w:tblStyle w:val="15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447"/>
        <w:gridCol w:w="568"/>
        <w:gridCol w:w="6"/>
        <w:gridCol w:w="1447"/>
        <w:gridCol w:w="568"/>
        <w:gridCol w:w="6"/>
        <w:gridCol w:w="1447"/>
        <w:gridCol w:w="553"/>
        <w:gridCol w:w="6"/>
        <w:gridCol w:w="815"/>
        <w:gridCol w:w="638"/>
      </w:tblGrid>
      <w:tr>
        <w:trPr>
          <w:tblHeader/>
          <w:jc w:val="center"/>
        </w:trPr>
        <w:tc>
          <w:tcPr>
            <w:tcW w:w="0" w:type="auto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Variables</w:t>
            </w:r>
          </w:p>
        </w:tc>
        <w:tc>
          <w:tcPr>
            <w:tcW w:w="0" w:type="auto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Model1</w:t>
            </w:r>
          </w:p>
        </w:tc>
        <w:tc>
          <w:tcPr>
            <w:tcW w:w="0" w:type="auto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Model2</w:t>
            </w:r>
          </w:p>
        </w:tc>
        <w:tc>
          <w:tcPr>
            <w:tcW w:w="0" w:type="auto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Model3</w:t>
            </w:r>
          </w:p>
        </w:tc>
        <w:tc>
          <w:tcPr>
            <w:tcW w:w="0" w:type="auto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917" w:type="pct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Model4</w:t>
            </w:r>
          </w:p>
        </w:tc>
      </w:tr>
      <w:tr>
        <w:trPr>
          <w:tblHeader/>
          <w:jc w:val="center"/>
        </w:trPr>
        <w:tc>
          <w:tcPr>
            <w:tcW w:w="0" w:type="auto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OR (95%CI)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i/>
                <w:color w:val="000000"/>
                <w:szCs w:val="21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OR (95%CI)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i/>
                <w:color w:val="000000"/>
                <w:szCs w:val="21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OR (95%CI)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i/>
                <w:color w:val="000000"/>
                <w:szCs w:val="21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OR (95%CI)</w:t>
            </w:r>
          </w:p>
        </w:tc>
        <w:tc>
          <w:tcPr>
            <w:tcW w:w="413" w:type="pc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i/>
                <w:color w:val="000000"/>
                <w:szCs w:val="21"/>
              </w:rPr>
              <w:t>P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TyG指数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2.87 (2.00 ~ 4.11)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&lt;.001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2.90 (1.99 ~ 4.24)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&lt;.001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2.91 (1.44 ~ 5.88)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0.003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3.29 (1.39 ~ 7.83)</w:t>
            </w:r>
          </w:p>
        </w:tc>
        <w:tc>
          <w:tcPr>
            <w:tcW w:w="413" w:type="pct"/>
            <w:tcBorders>
              <w:top w:val="single" w:color="000000" w:sz="8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0.007</w:t>
            </w:r>
          </w:p>
        </w:tc>
      </w:tr>
      <w:tr>
        <w:trPr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Model1: 未调整混杂因素；Model2: 调整年龄、性别、BMI、吸烟史、饮酒史；Model3进一步调整心率, 糖尿病，脑血管病史；Model4: 进一步调整LDL-C、HDL-C、FBG、CK-MB、TG、肌钙蛋白I、肌钙蛋白T、肌红蛋白、</w:t>
            </w:r>
            <w:r>
              <w:rPr>
                <w:rFonts w:hint="eastAsia" w:ascii="Times New Roman" w:hAnsi="Times New Roman" w:eastAsia="宋体" w:cs="宋体"/>
              </w:rPr>
              <w:t>HbA1C</w:t>
            </w:r>
            <w:r>
              <w:rPr>
                <w:rFonts w:hint="eastAsia"/>
              </w:rPr>
              <w:t>、NT-proBNP。</w:t>
            </w:r>
          </w:p>
        </w:tc>
      </w:tr>
    </w:tbl>
    <w:p>
      <w:r>
        <w:rPr>
          <w:rFonts w:hint="eastAsia"/>
        </w:rPr>
        <w:drawing>
          <wp:inline distT="0" distB="0" distL="114300" distR="114300">
            <wp:extent cx="3087370" cy="2184400"/>
            <wp:effectExtent l="0" t="0" r="0" b="6350"/>
            <wp:docPr id="4" name="图片 4" descr="调整协变量后R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调整协变量后RC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311" cy="21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360" w:firstLine="0" w:firstLineChars="0"/>
        <w:rPr>
          <w:color w:val="000000"/>
          <w:szCs w:val="21"/>
        </w:rPr>
      </w:pPr>
      <w:r>
        <w:rPr>
          <w:rFonts w:hint="eastAsia"/>
          <w:b/>
          <w:bCs/>
        </w:rPr>
        <w:t>图1TyG指数与MACE结局关系的限制性立方样条模型</w:t>
      </w:r>
    </w:p>
    <w:p>
      <w:pPr>
        <w:rPr>
          <w:rFonts w:hint="eastAsia"/>
        </w:rPr>
      </w:pPr>
    </w:p>
    <w:p>
      <w:pPr>
        <w:pStyle w:val="2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老年ACS 患者发生院内MACE影响因素的单因素及多因素Logistic回归分析（表3）</w:t>
      </w:r>
    </w:p>
    <w:p>
      <w:pPr>
        <w:pStyle w:val="21"/>
        <w:ind w:left="360"/>
        <w:rPr>
          <w:szCs w:val="21"/>
        </w:rPr>
      </w:pPr>
      <w:r>
        <w:rPr>
          <w:rFonts w:hint="eastAsia"/>
          <w:szCs w:val="21"/>
        </w:rPr>
        <w:t>将表1中P＜0.05的变量纳入Logistic单因素回归分析中，结果提示糖尿病、脑血管病、LDL-C、 心率、TG、FBG、CK-MB、MYO、TyG指数有统计学意义</w:t>
      </w:r>
      <w:r>
        <w:rPr>
          <w:rFonts w:hint="eastAsia"/>
          <w:szCs w:val="21"/>
          <w:highlight w:val="lightGray"/>
        </w:rPr>
        <w:t>。</w:t>
      </w:r>
      <w:r>
        <w:rPr>
          <w:rFonts w:hint="eastAsia"/>
          <w:szCs w:val="21"/>
        </w:rPr>
        <w:t>为分析老年ACS患者院内mace的独立危险因素，控制混杂因素，以MACE为因变量，进一步将单因素分析中危险因素为自变量进行多因素Logistic 回归分析，结果显示：脑血管病、LDL-C、 心率、TyG指数</w:t>
      </w:r>
      <w:r>
        <w:rPr>
          <w:rFonts w:hint="eastAsia"/>
        </w:rPr>
        <w:t>仍</w:t>
      </w:r>
      <w:r>
        <w:rPr>
          <w:rFonts w:hint="eastAsia"/>
          <w:szCs w:val="21"/>
        </w:rPr>
        <w:t>是院内MACE的独立危险因素。见表3。</w:t>
      </w:r>
    </w:p>
    <w:p>
      <w:pPr>
        <w:pStyle w:val="21"/>
        <w:ind w:left="360"/>
        <w:rPr>
          <w:szCs w:val="21"/>
        </w:rPr>
      </w:pPr>
      <w:r>
        <w:rPr>
          <w:rFonts w:hint="eastAsia"/>
          <w:szCs w:val="21"/>
        </w:rPr>
        <w:t>在调整性别、年龄、糖尿病、脑血管病等因素后，这种关系在统计学上仍然显著，</w:t>
      </w:r>
      <w:r>
        <w:rPr>
          <w:szCs w:val="21"/>
        </w:rPr>
        <w:t xml:space="preserve"> </w:t>
      </w:r>
    </w:p>
    <w:p>
      <w:pPr>
        <w:pStyle w:val="21"/>
        <w:ind w:left="360" w:firstLine="0" w:firstLineChars="0"/>
        <w:rPr>
          <w:b/>
          <w:bCs/>
        </w:rPr>
      </w:pPr>
    </w:p>
    <w:p>
      <w:pPr>
        <w:pStyle w:val="21"/>
        <w:ind w:left="360" w:firstLine="0" w:firstLineChars="0"/>
        <w:rPr>
          <w:b/>
          <w:bCs/>
        </w:rPr>
      </w:pPr>
    </w:p>
    <w:p>
      <w:pPr>
        <w:pStyle w:val="21"/>
        <w:ind w:left="360" w:firstLine="0" w:firstLineChars="0"/>
        <w:rPr>
          <w:b/>
          <w:bCs/>
        </w:rPr>
      </w:pPr>
    </w:p>
    <w:p>
      <w:pPr>
        <w:pStyle w:val="21"/>
        <w:ind w:left="360" w:firstLine="0" w:firstLineChars="0"/>
        <w:rPr>
          <w:rFonts w:hint="eastAsia"/>
          <w:b/>
          <w:bCs/>
        </w:rPr>
      </w:pPr>
    </w:p>
    <w:p>
      <w:pPr>
        <w:pStyle w:val="21"/>
        <w:ind w:left="360" w:firstLine="0" w:firstLineChars="0"/>
        <w:rPr>
          <w:rFonts w:hint="eastAsia"/>
          <w:b/>
          <w:bCs/>
        </w:rPr>
      </w:pP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表3</w:t>
      </w:r>
      <w:r>
        <w:rPr>
          <w:rFonts w:hint="eastAsia"/>
          <w:b/>
          <w:bCs/>
        </w:rPr>
        <w:t>老年ACS 患者发生院内MACE的单因素及多因素</w:t>
      </w:r>
      <w:r>
        <w:rPr>
          <w:rFonts w:hint="eastAsia"/>
          <w:szCs w:val="21"/>
        </w:rPr>
        <w:t>Logistic</w:t>
      </w:r>
      <w:r>
        <w:rPr>
          <w:rFonts w:hint="eastAsia"/>
          <w:b/>
          <w:bCs/>
        </w:rPr>
        <w:t>回归分析</w:t>
      </w:r>
    </w:p>
    <w:tbl>
      <w:tblPr>
        <w:tblStyle w:val="18"/>
        <w:tblW w:w="4355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2176"/>
        <w:gridCol w:w="1017"/>
        <w:gridCol w:w="2267"/>
        <w:gridCol w:w="80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1" w:type="pct"/>
            <w:vMerge w:val="restart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wordWrap/>
              <w:spacing w:line="360" w:lineRule="exact"/>
              <w:rPr>
                <w:b w:val="0"/>
                <w:i w:val="0"/>
              </w:rPr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Cs w:val="21"/>
              </w:rPr>
              <w:t>Variables</w:t>
            </w:r>
          </w:p>
        </w:tc>
        <w:tc>
          <w:tcPr>
            <w:tcW w:w="2151" w:type="pct"/>
            <w:gridSpan w:val="2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wordWrap/>
              <w:spacing w:before="40" w:after="40" w:line="360" w:lineRule="exact"/>
              <w:ind w:left="40" w:right="40"/>
              <w:jc w:val="center"/>
              <w:rPr>
                <w:b w:val="0"/>
                <w:i w:val="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Cs w:val="21"/>
              </w:rPr>
              <w:t>单因素</w:t>
            </w:r>
          </w:p>
        </w:tc>
        <w:tc>
          <w:tcPr>
            <w:tcW w:w="2068" w:type="pct"/>
            <w:gridSpan w:val="2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wordWrap/>
              <w:spacing w:before="40" w:after="40" w:line="360" w:lineRule="exact"/>
              <w:ind w:left="40" w:right="4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Cs w:val="21"/>
              </w:rPr>
              <w:t>多因素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1" w:type="pct"/>
            <w:vMerge w:val="continu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OR (95%CI)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i/>
                <w:color w:val="000000"/>
                <w:szCs w:val="21"/>
              </w:rPr>
              <w:t>P</w:t>
            </w:r>
          </w:p>
        </w:tc>
        <w:tc>
          <w:tcPr>
            <w:tcW w:w="1527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OR (95%CI)</w:t>
            </w:r>
          </w:p>
        </w:tc>
        <w:tc>
          <w:tcPr>
            <w:tcW w:w="542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i/>
                <w:color w:val="000000"/>
                <w:szCs w:val="21"/>
              </w:rPr>
              <w:t>P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bookmarkStart w:id="6" w:name="_Hlk176197358"/>
            <w:r>
              <w:rPr>
                <w:rFonts w:hint="eastAsia" w:ascii="宋体" w:hAnsi="宋体" w:eastAsia="宋体" w:cs="宋体"/>
                <w:color w:val="000000"/>
                <w:szCs w:val="21"/>
              </w:rPr>
              <w:t>糖尿病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1.95 (1.12 ~ 3.38)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0.018</w:t>
            </w:r>
          </w:p>
        </w:tc>
        <w:tc>
          <w:tcPr>
            <w:tcW w:w="1527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  <w:tc>
          <w:tcPr>
            <w:tcW w:w="542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脑血管病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3.21 (1.45 ~ 7.10)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0.004</w:t>
            </w:r>
          </w:p>
        </w:tc>
        <w:tc>
          <w:tcPr>
            <w:tcW w:w="1527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  <w:rPr>
                <w:highlight w:val="gree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highlight w:val="green"/>
                <w:lang w:val="en-US" w:eastAsia="zh-CN"/>
              </w:rPr>
              <w:t>4</w:t>
            </w:r>
            <w:r>
              <w:rPr>
                <w:rFonts w:ascii="Times New Roman" w:hAnsi="Times New Roman" w:eastAsia="Times New Roman"/>
                <w:color w:val="000000"/>
                <w:szCs w:val="21"/>
                <w:highlight w:val="green"/>
              </w:rPr>
              <w:t>.7</w:t>
            </w:r>
            <w:r>
              <w:rPr>
                <w:rFonts w:hint="eastAsia" w:ascii="Times New Roman" w:hAnsi="Times New Roman" w:eastAsia="宋体"/>
                <w:color w:val="000000"/>
                <w:szCs w:val="21"/>
                <w:highlight w:val="green"/>
                <w:lang w:val="en-US" w:eastAsia="zh-CN"/>
              </w:rPr>
              <w:t>8</w:t>
            </w:r>
            <w:r>
              <w:rPr>
                <w:rFonts w:ascii="Times New Roman" w:hAnsi="Times New Roman" w:eastAsia="Times New Roman"/>
                <w:color w:val="000000"/>
                <w:szCs w:val="21"/>
                <w:highlight w:val="green"/>
              </w:rPr>
              <w:t xml:space="preserve"> (1.73 ~ 7.71)</w:t>
            </w:r>
          </w:p>
        </w:tc>
        <w:tc>
          <w:tcPr>
            <w:tcW w:w="542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  <w:rPr>
                <w:rFonts w:ascii="Times New Roman" w:hAnsi="Times New Roman" w:eastAsia="Times New Roman"/>
                <w:color w:val="000000"/>
                <w:szCs w:val="21"/>
                <w:highlight w:val="green"/>
              </w:rPr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  <w:highlight w:val="green"/>
              </w:rPr>
              <w:t>0.007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LDL-C</w:t>
            </w:r>
            <w:r>
              <w:t xml:space="preserve"> 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1.70 (1.28 ~ 2.25)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&lt;.001</w:t>
            </w:r>
          </w:p>
        </w:tc>
        <w:tc>
          <w:tcPr>
            <w:tcW w:w="1527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1.81 (1.04 ~ 3.14)</w:t>
            </w:r>
          </w:p>
        </w:tc>
        <w:tc>
          <w:tcPr>
            <w:tcW w:w="542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心率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1.03 (1.01 ~ 1.05)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0.003</w:t>
            </w:r>
          </w:p>
        </w:tc>
        <w:tc>
          <w:tcPr>
            <w:tcW w:w="1527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1.04 (1.01 ~ 1.07)</w:t>
            </w:r>
          </w:p>
        </w:tc>
        <w:tc>
          <w:tcPr>
            <w:tcW w:w="542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  <w:rPr>
                <w:rFonts w:ascii="Times New Roman" w:hAnsi="Times New Roman" w:eastAsia="Times New Roman"/>
                <w:color w:val="000000"/>
                <w:szCs w:val="21"/>
              </w:rPr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0.018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2068" w:type="pct"/>
        </w:trPr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TG</w:t>
            </w:r>
            <w:r>
              <w:t xml:space="preserve"> 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1.52 (1.23 ~ 1.89)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&lt;.001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2068" w:type="pct"/>
        </w:trPr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hint="eastAsia"/>
              </w:rPr>
            </w:pPr>
            <w:r>
              <w:rPr>
                <w:rFonts w:hint="eastAsia" w:ascii="Times New Roman" w:hAnsi="Times New Roman" w:eastAsia="Times New Roman"/>
                <w:color w:val="000000"/>
                <w:szCs w:val="21"/>
              </w:rPr>
              <w:t>FBG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1.12 (1.03 ~ 1.21)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0.005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2068" w:type="pct"/>
        </w:trPr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CK-MB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1.01 (1.01 ~ 1.01)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0.016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2068" w:type="pct"/>
        </w:trPr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hint="eastAsia"/>
              </w:rPr>
            </w:pPr>
            <w:r>
              <w:rPr>
                <w:rFonts w:hint="eastAsia" w:ascii="Times New Roman" w:hAnsi="Times New Roman" w:eastAsia="Times New Roman"/>
                <w:color w:val="000000"/>
                <w:szCs w:val="21"/>
              </w:rPr>
              <w:t>MYO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1.01 (1.01 ~ 1.01)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0.025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1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TyG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指数</w:t>
            </w:r>
          </w:p>
        </w:tc>
        <w:tc>
          <w:tcPr>
            <w:tcW w:w="1466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color w:val="000000"/>
                <w:szCs w:val="21"/>
              </w:rPr>
              <w:t>2.87 (2.00 ~ 4.11)</w:t>
            </w:r>
          </w:p>
        </w:tc>
        <w:tc>
          <w:tcPr>
            <w:tcW w:w="685" w:type="pct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</w:rPr>
              <w:t>&lt;.001</w:t>
            </w:r>
          </w:p>
        </w:tc>
        <w:tc>
          <w:tcPr>
            <w:tcW w:w="1527" w:type="pct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  <w:rPr>
                <w:highlight w:val="green"/>
              </w:rPr>
            </w:pPr>
            <w:r>
              <w:rPr>
                <w:rFonts w:ascii="Times New Roman" w:hAnsi="Times New Roman" w:eastAsia="Times New Roman"/>
                <w:color w:val="000000"/>
                <w:szCs w:val="21"/>
                <w:highlight w:val="green"/>
              </w:rPr>
              <w:t>3.29 (1.39 ~ 7.83)</w:t>
            </w:r>
          </w:p>
        </w:tc>
        <w:tc>
          <w:tcPr>
            <w:tcW w:w="542" w:type="pct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40" w:right="40"/>
              <w:jc w:val="center"/>
              <w:rPr>
                <w:rFonts w:ascii="Times New Roman" w:hAnsi="Times New Roman" w:eastAsia="Times New Roman"/>
                <w:color w:val="000000"/>
                <w:szCs w:val="21"/>
                <w:highlight w:val="green"/>
              </w:rPr>
            </w:pPr>
            <w:r>
              <w:rPr>
                <w:rFonts w:ascii="Times New Roman" w:hAnsi="Times New Roman" w:eastAsia="Times New Roman"/>
                <w:b/>
                <w:color w:val="FF0000"/>
                <w:szCs w:val="21"/>
                <w:highlight w:val="green"/>
              </w:rPr>
              <w:t>0.007</w:t>
            </w:r>
          </w:p>
        </w:tc>
      </w:tr>
      <w:bookmarkEnd w:id="6"/>
    </w:tbl>
    <w:p>
      <w:pPr>
        <w:pStyle w:val="21"/>
        <w:ind w:left="360" w:firstLine="0" w:firstLineChars="0"/>
        <w:rPr>
          <w:rFonts w:ascii="Times New Roman" w:hAnsi="Times New Roman" w:eastAsia="宋体"/>
          <w:color w:val="000000"/>
          <w:szCs w:val="21"/>
        </w:rPr>
      </w:pPr>
      <w:r>
        <w:rPr>
          <w:rFonts w:ascii="Times New Roman" w:hAnsi="Times New Roman" w:eastAsia="宋体"/>
          <w:color w:val="000000"/>
          <w:szCs w:val="21"/>
        </w:rPr>
        <w:t>OR: Odds Ratio, CI: Confidence Interval</w:t>
      </w:r>
    </w:p>
    <w:p>
      <w:pPr>
        <w:pStyle w:val="21"/>
        <w:ind w:left="360" w:firstLine="0" w:firstLineChars="0"/>
        <w:rPr>
          <w:rFonts w:ascii="Times New Roman" w:hAnsi="Times New Roman" w:eastAsia="宋体"/>
          <w:color w:val="000000"/>
          <w:szCs w:val="21"/>
        </w:rPr>
      </w:pPr>
    </w:p>
    <w:p>
      <w:r>
        <w:rPr>
          <w:rFonts w:hint="eastAsia"/>
        </w:rPr>
        <w:t xml:space="preserve">4.建立Logistic 回归方程预测模型 </w:t>
      </w:r>
    </w:p>
    <w:p>
      <w:pPr>
        <w:rPr>
          <w14:ligatures w14:val="standardContextual"/>
        </w:rPr>
      </w:pPr>
      <w:r>
        <w:rPr>
          <w:rFonts w:hint="eastAsia"/>
        </w:rPr>
        <w:t xml:space="preserve">参照多因素回归分析结果，以脑血管病史、LDL-C、心率、TyG指数为特征，构建 </w:t>
      </w:r>
      <w:r>
        <w:rPr>
          <w:rFonts w:hint="eastAsia"/>
          <w:highlight w:val="yellow"/>
        </w:rPr>
        <w:t>Logistic 回归方程模型：Logit（P）=</w:t>
      </w:r>
      <w:r>
        <w:rPr>
          <w:rFonts w:hint="eastAsia"/>
          <w:highlight w:val="green"/>
        </w:rPr>
        <w:t>1.15*TyG指数 + 0.017 * 心率 + 0.323 * 脑血管病史 + 0.48 * LDL-C检测值 -15.09</w:t>
      </w:r>
      <w:r>
        <w:rPr>
          <w:rFonts w:hint="eastAsia"/>
          <w14:ligatures w14:val="standardContextual"/>
        </w:rPr>
        <w:t>。</w:t>
      </w:r>
    </w:p>
    <w:p>
      <w:pPr>
        <w:rPr>
          <w:rFonts w:hint="eastAsia"/>
          <w14:ligatures w14:val="standardContextual"/>
        </w:rPr>
      </w:pPr>
    </w:p>
    <w:p>
      <w:pPr>
        <w:rPr>
          <w14:ligatures w14:val="standardContextual"/>
        </w:rPr>
      </w:pPr>
      <w:r>
        <w:rPr>
          <w:rFonts w:hint="eastAsia"/>
          <w14:ligatures w14:val="standardContextual"/>
        </w:rPr>
        <w:t>5. TyG 指数及 Logistic 回归模型对老年ACS</w:t>
      </w:r>
      <w:bookmarkStart w:id="7" w:name="_GoBack"/>
      <w:bookmarkEnd w:id="7"/>
      <w:r>
        <w:rPr>
          <w:rFonts w:hint="eastAsia"/>
          <w14:ligatures w14:val="standardContextual"/>
        </w:rPr>
        <w:t>患者发生院内MACE的预测价值</w:t>
      </w:r>
    </w:p>
    <w:p>
      <w:pPr>
        <w:rPr>
          <w14:ligatures w14:val="standardContextual"/>
        </w:rPr>
      </w:pPr>
    </w:p>
    <w:p>
      <w:pPr>
        <w:rPr>
          <w14:ligatures w14:val="standardContextual"/>
        </w:rPr>
      </w:pPr>
      <w:r>
        <w:rPr>
          <w:rFonts w:hint="eastAsia"/>
          <w14:ligatures w14:val="standardContextual"/>
        </w:rPr>
        <w:t>TyG 指数预测 老年ACS患者发生院内MACE的曲线下面积 （AUC）为 0.780，F1值为0.556，灵敏度为 69.0%，特异度为 96.2%。 Logistic 回归模型预测年ACS患者发生院内MACE的 AUC为 0.855 ，F1值为0.733，灵 敏 度 为 85.5%，特异度为84.6%，见图 4。</w:t>
      </w:r>
    </w:p>
    <w:p>
      <w:pPr>
        <w:rPr>
          <w:rFonts w:hint="eastAsia"/>
          <w14:ligatures w14:val="standardContextual"/>
        </w:rPr>
      </w:pPr>
      <w:r>
        <w:rPr>
          <w:rFonts w:hint="eastAsia"/>
          <w14:ligatures w14:val="standardContextual"/>
        </w:rPr>
        <w:t>表4</w:t>
      </w:r>
    </w:p>
    <w:tbl>
      <w:tblPr>
        <w:tblStyle w:val="18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992"/>
        <w:gridCol w:w="1134"/>
        <w:gridCol w:w="1276"/>
        <w:gridCol w:w="992"/>
        <w:gridCol w:w="767"/>
        <w:gridCol w:w="617"/>
        <w:gridCol w:w="45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hint="eastAsia"/>
                <w:b w:val="0"/>
                <w:i w:val="0"/>
              </w:rPr>
            </w:pPr>
          </w:p>
        </w:tc>
        <w:tc>
          <w:tcPr>
            <w:tcW w:w="992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</w:rPr>
              <w:t>曲线下面积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</w:rPr>
              <w:t>敏感度(%)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</w:rPr>
              <w:t>特异度(%)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</w:rPr>
              <w:t>阳性预测值(%)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</w:rPr>
              <w:t>阴性预测值(%)</w:t>
            </w:r>
          </w:p>
        </w:tc>
        <w:tc>
          <w:tcPr>
            <w:tcW w:w="1345" w:type="dxa"/>
            <w:gridSpan w:val="2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</w:rPr>
              <w:t>准确度(%)</w:t>
            </w:r>
          </w:p>
        </w:tc>
        <w:tc>
          <w:tcPr>
            <w:tcW w:w="459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  <w:color w:val="000000"/>
                <w:sz w:val="22"/>
              </w:rPr>
              <w:t>F1值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TyG指数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0.780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0.690</w:t>
            </w:r>
          </w:p>
        </w:tc>
        <w:tc>
          <w:tcPr>
            <w:tcW w:w="1134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0.962</w:t>
            </w:r>
          </w:p>
        </w:tc>
        <w:tc>
          <w:tcPr>
            <w:tcW w:w="1276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0.989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0.391</w:t>
            </w:r>
          </w:p>
        </w:tc>
        <w:tc>
          <w:tcPr>
            <w:tcW w:w="728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0.605</w:t>
            </w:r>
          </w:p>
        </w:tc>
        <w:tc>
          <w:tcPr>
            <w:tcW w:w="1076" w:type="dxa"/>
            <w:gridSpan w:val="2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0.556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回归模型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0.855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0.905</w:t>
            </w:r>
          </w:p>
        </w:tc>
        <w:tc>
          <w:tcPr>
            <w:tcW w:w="1134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0.846</w:t>
            </w:r>
          </w:p>
        </w:tc>
        <w:tc>
          <w:tcPr>
            <w:tcW w:w="1276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0.966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0.647</w:t>
            </w:r>
          </w:p>
        </w:tc>
        <w:tc>
          <w:tcPr>
            <w:tcW w:w="728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0.763</w:t>
            </w:r>
          </w:p>
        </w:tc>
        <w:tc>
          <w:tcPr>
            <w:tcW w:w="1076" w:type="dxa"/>
            <w:gridSpan w:val="2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0.733</w:t>
            </w:r>
          </w:p>
        </w:tc>
      </w:tr>
    </w:tbl>
    <w:p/>
    <w:p>
      <w:r>
        <w:rPr>
          <w:rFonts w:hint="eastAsia"/>
          <w14:ligatures w14:val="standardContextual"/>
        </w:rPr>
        <w:drawing>
          <wp:inline distT="0" distB="0" distL="0" distR="0">
            <wp:extent cx="3794760" cy="2846070"/>
            <wp:effectExtent l="0" t="0" r="0" b="0"/>
            <wp:docPr id="14641859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8599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255" cy="285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图2 TyG 指数及 Logistic 回归模型预测</w:t>
      </w:r>
      <w:r>
        <w:rPr>
          <w:rFonts w:hint="eastAsia"/>
          <w14:ligatures w14:val="standardContextual"/>
        </w:rPr>
        <w:t>老年ACS患者发生院内MACE的</w:t>
      </w:r>
      <w:r>
        <w:rPr>
          <w:rFonts w:hint="eastAsia"/>
        </w:rPr>
        <w:t xml:space="preserve"> ROC 曲线</w:t>
      </w:r>
    </w:p>
    <w:p>
      <w:pPr>
        <w:rPr>
          <w:rFonts w:hint="eastAsia"/>
        </w:rPr>
      </w:pPr>
      <w:r>
        <w:drawing>
          <wp:inline distT="0" distB="0" distL="0" distR="0">
            <wp:extent cx="3571240" cy="6856730"/>
            <wp:effectExtent l="0" t="0" r="0" b="1270"/>
            <wp:docPr id="1652078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789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drawing>
          <wp:inline distT="0" distB="0" distL="0" distR="0">
            <wp:extent cx="4216400" cy="2565400"/>
            <wp:effectExtent l="0" t="0" r="0" b="0"/>
            <wp:docPr id="1293841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100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5.ROC曲线/DCA曲线（表3，图3，图4）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 ＴｙＧ 指 数、Ｇｒａｃｅ 评 分 做 ＲＯＣ 曲 线，曲 线 下面积分别 为 ０．７４２，０．８２９，预 测 ＭＡＣＥｓ敏 感 性 分 别 为 ８６．８％、７３．６％，特 异 性 分 别 为 ５１．９％、 ７８．９％，阈值分 别 为 ８．８０６、１６７．５。 二 者 联 合 后 曲 线下面 积 （ＡＵＣ）为 ０．８５６，敏 感 性 为 ７４．５％，特 异 性为８３．５％，均高 于 Ｇｒａｃｅ单 独 预 测 ＭＡＣＥｓ。 采 用 Ｄｅｌｏｎｇ 检 验，发 现 二 者 联 合 后 比 单 独 预 测 ＭＡＣＥｓ事 件 都 更 有 效 （Ｚ＝４．４３７，Ｐ＜０．００１；Ｚ＝ ２．３７８，Ｐ＝０．０１７）。因此，ＴｙＧ 指 数 联 合 Ｇｒａｃｅ评 分后提高了 Ｇｒａｃｅ评分对于 ＡＭＩ患者临床终点的 预测价值 及 Ｇｒａｃｅ评 分 预 测 ＭＡＣＥｓ的 敏 感 性 和 特异性</w:t>
      </w:r>
    </w:p>
    <w:p>
      <w:pPr>
        <w:rPr>
          <w:rFonts w:ascii="Times New Roman" w:hAnsi="Times New Roman" w:eastAsiaTheme="minorEastAsia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</w:pPr>
      <w:r>
        <w:drawing>
          <wp:inline distT="0" distB="0" distL="0" distR="0">
            <wp:extent cx="5274310" cy="1384935"/>
            <wp:effectExtent l="0" t="0" r="2540" b="5715"/>
            <wp:docPr id="494424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2456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drawing>
          <wp:inline distT="0" distB="0" distL="0" distR="0">
            <wp:extent cx="5274310" cy="3915410"/>
            <wp:effectExtent l="0" t="0" r="2540" b="8890"/>
            <wp:docPr id="815325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25479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022143"/>
    <w:multiLevelType w:val="multilevel"/>
    <w:tmpl w:val="410221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191783"/>
    <w:multiLevelType w:val="multilevel"/>
    <w:tmpl w:val="78191783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4"/>
      <w:lvlText w:val="%1.%2."/>
      <w:lvlJc w:val="left"/>
      <w:pPr>
        <w:ind w:left="79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224" w:hanging="504"/>
      </w:pPr>
    </w:lvl>
    <w:lvl w:ilvl="3" w:tentative="0">
      <w:start w:val="1"/>
      <w:numFmt w:val="decimal"/>
      <w:pStyle w:val="6"/>
      <w:lvlText w:val="%1.%2.%3.%4."/>
      <w:lvlJc w:val="left"/>
      <w:pPr>
        <w:ind w:left="1728" w:hanging="648"/>
      </w:pPr>
    </w:lvl>
    <w:lvl w:ilvl="4" w:tentative="0">
      <w:start w:val="1"/>
      <w:numFmt w:val="decimal"/>
      <w:pStyle w:val="7"/>
      <w:lvlText w:val="%1.%2.%3.%4.%5."/>
      <w:lvlJc w:val="left"/>
      <w:pPr>
        <w:ind w:left="2232" w:hanging="792"/>
      </w:pPr>
    </w:lvl>
    <w:lvl w:ilvl="5" w:tentative="0">
      <w:start w:val="1"/>
      <w:numFmt w:val="decimal"/>
      <w:pStyle w:val="8"/>
      <w:lvlText w:val="%1.%2.%3.%4.%5.%6."/>
      <w:lvlJc w:val="left"/>
      <w:pPr>
        <w:ind w:left="2736" w:hanging="936"/>
      </w:pPr>
    </w:lvl>
    <w:lvl w:ilvl="6" w:tentative="0">
      <w:start w:val="1"/>
      <w:numFmt w:val="decimal"/>
      <w:pStyle w:val="9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pStyle w:val="10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pStyle w:val="11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49"/>
    <w:rsid w:val="000425FB"/>
    <w:rsid w:val="000A4195"/>
    <w:rsid w:val="000A50B3"/>
    <w:rsid w:val="000D0527"/>
    <w:rsid w:val="001167B7"/>
    <w:rsid w:val="00126B91"/>
    <w:rsid w:val="00131A77"/>
    <w:rsid w:val="001411C5"/>
    <w:rsid w:val="001673E6"/>
    <w:rsid w:val="001F41E6"/>
    <w:rsid w:val="00220685"/>
    <w:rsid w:val="00235955"/>
    <w:rsid w:val="00320F66"/>
    <w:rsid w:val="00361B5D"/>
    <w:rsid w:val="00377520"/>
    <w:rsid w:val="003C16EA"/>
    <w:rsid w:val="003C735E"/>
    <w:rsid w:val="00413115"/>
    <w:rsid w:val="004400D3"/>
    <w:rsid w:val="004C1974"/>
    <w:rsid w:val="004D3D6A"/>
    <w:rsid w:val="004F1CA9"/>
    <w:rsid w:val="004F539F"/>
    <w:rsid w:val="0050154F"/>
    <w:rsid w:val="005852D2"/>
    <w:rsid w:val="00592049"/>
    <w:rsid w:val="005A632D"/>
    <w:rsid w:val="005D5EC0"/>
    <w:rsid w:val="00605DBA"/>
    <w:rsid w:val="00613485"/>
    <w:rsid w:val="00624F05"/>
    <w:rsid w:val="00637EDE"/>
    <w:rsid w:val="006D6DFF"/>
    <w:rsid w:val="0070589E"/>
    <w:rsid w:val="00742887"/>
    <w:rsid w:val="00764D87"/>
    <w:rsid w:val="00926B4E"/>
    <w:rsid w:val="009275E7"/>
    <w:rsid w:val="00950590"/>
    <w:rsid w:val="00992219"/>
    <w:rsid w:val="009A0B75"/>
    <w:rsid w:val="00A1757B"/>
    <w:rsid w:val="00AA35C4"/>
    <w:rsid w:val="00AB56B7"/>
    <w:rsid w:val="00B72232"/>
    <w:rsid w:val="00C7286E"/>
    <w:rsid w:val="00E77DEB"/>
    <w:rsid w:val="00EA297A"/>
    <w:rsid w:val="00EA7287"/>
    <w:rsid w:val="00ED11BD"/>
    <w:rsid w:val="00EF1E47"/>
    <w:rsid w:val="00F04D71"/>
    <w:rsid w:val="00F45031"/>
    <w:rsid w:val="00F92EC8"/>
    <w:rsid w:val="00FB582C"/>
    <w:rsid w:val="457EDEA4"/>
    <w:rsid w:val="57DD4A1B"/>
    <w:rsid w:val="5FAFBC99"/>
    <w:rsid w:val="77D5A067"/>
    <w:rsid w:val="7CFF2C64"/>
    <w:rsid w:val="7FBFC3A8"/>
    <w:rsid w:val="7FDF45A5"/>
    <w:rsid w:val="B1B3D1B4"/>
    <w:rsid w:val="BBFB0F1E"/>
    <w:rsid w:val="CBFB265C"/>
    <w:rsid w:val="CBFD6F46"/>
    <w:rsid w:val="CCFFC149"/>
    <w:rsid w:val="D0FF65CE"/>
    <w:rsid w:val="DFFF570F"/>
    <w:rsid w:val="F76FD836"/>
    <w:rsid w:val="FFBEB2B6"/>
    <w:rsid w:val="FFB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9"/>
    <w:pPr>
      <w:keepNext/>
      <w:keepLines/>
      <w:widowControl/>
      <w:numPr>
        <w:ilvl w:val="0"/>
        <w:numId w:val="1"/>
      </w:numPr>
      <w:spacing w:before="480"/>
      <w:jc w:val="left"/>
      <w:outlineLvl w:val="0"/>
    </w:pPr>
    <w:rPr>
      <w:rFonts w:asciiTheme="majorHAnsi" w:hAnsiTheme="majorHAnsi" w:eastAsiaTheme="majorEastAsia" w:cstheme="majorBidi"/>
      <w:b/>
      <w:bCs/>
      <w:color w:val="000000" w:themeColor="text1"/>
      <w:kern w:val="0"/>
      <w:sz w:val="32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23"/>
    <w:unhideWhenUsed/>
    <w:qFormat/>
    <w:uiPriority w:val="9"/>
    <w:pPr>
      <w:keepNext/>
      <w:keepLines/>
      <w:widowControl/>
      <w:numPr>
        <w:ilvl w:val="1"/>
        <w:numId w:val="1"/>
      </w:numPr>
      <w:spacing w:before="200"/>
      <w:jc w:val="left"/>
      <w:outlineLvl w:val="1"/>
    </w:pPr>
    <w:rPr>
      <w:rFonts w:asciiTheme="majorHAnsi" w:hAnsiTheme="majorHAnsi" w:eastAsiaTheme="majorEastAsia" w:cstheme="majorBidi"/>
      <w:b/>
      <w:bCs/>
      <w:color w:val="000000" w:themeColor="text1"/>
      <w:kern w:val="0"/>
      <w:sz w:val="32"/>
      <w:szCs w:val="32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link w:val="24"/>
    <w:unhideWhenUsed/>
    <w:qFormat/>
    <w:uiPriority w:val="9"/>
    <w:pPr>
      <w:keepNext/>
      <w:keepLines/>
      <w:widowControl/>
      <w:numPr>
        <w:ilvl w:val="2"/>
        <w:numId w:val="1"/>
      </w:numPr>
      <w:spacing w:before="200"/>
      <w:jc w:val="left"/>
      <w:outlineLvl w:val="2"/>
    </w:pPr>
    <w:rPr>
      <w:rFonts w:asciiTheme="majorHAnsi" w:hAnsiTheme="majorHAnsi" w:eastAsiaTheme="majorEastAsia" w:cstheme="majorBidi"/>
      <w:b/>
      <w:bCs/>
      <w:color w:val="000000" w:themeColor="text1"/>
      <w:kern w:val="0"/>
      <w:sz w:val="28"/>
      <w:szCs w:val="28"/>
      <w:lang w:eastAsia="en-US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link w:val="25"/>
    <w:unhideWhenUsed/>
    <w:qFormat/>
    <w:uiPriority w:val="9"/>
    <w:pPr>
      <w:keepNext/>
      <w:keepLines/>
      <w:widowControl/>
      <w:numPr>
        <w:ilvl w:val="3"/>
        <w:numId w:val="1"/>
      </w:numPr>
      <w:spacing w:before="200"/>
      <w:jc w:val="left"/>
      <w:outlineLvl w:val="3"/>
    </w:pPr>
    <w:rPr>
      <w:rFonts w:asciiTheme="majorHAnsi" w:hAnsiTheme="majorHAnsi" w:eastAsiaTheme="majorEastAsia" w:cstheme="majorBidi"/>
      <w:b/>
      <w:bCs/>
      <w:color w:val="000000" w:themeColor="text1"/>
      <w:kern w:val="0"/>
      <w:sz w:val="24"/>
      <w:szCs w:val="24"/>
      <w:lang w:eastAsia="en-US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link w:val="26"/>
    <w:unhideWhenUsed/>
    <w:qFormat/>
    <w:uiPriority w:val="9"/>
    <w:pPr>
      <w:keepNext/>
      <w:keepLines/>
      <w:widowControl/>
      <w:numPr>
        <w:ilvl w:val="4"/>
        <w:numId w:val="1"/>
      </w:numPr>
      <w:spacing w:before="200"/>
      <w:jc w:val="left"/>
      <w:outlineLvl w:val="4"/>
    </w:pPr>
    <w:rPr>
      <w:rFonts w:asciiTheme="majorHAnsi" w:hAnsiTheme="majorHAnsi" w:eastAsiaTheme="majorEastAsia" w:cstheme="majorBidi"/>
      <w:i/>
      <w:iCs/>
      <w:color w:val="000000" w:themeColor="text1"/>
      <w:kern w:val="0"/>
      <w:sz w:val="24"/>
      <w:szCs w:val="24"/>
      <w:lang w:eastAsia="en-US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link w:val="27"/>
    <w:unhideWhenUsed/>
    <w:qFormat/>
    <w:uiPriority w:val="9"/>
    <w:pPr>
      <w:keepNext/>
      <w:keepLines/>
      <w:widowControl/>
      <w:numPr>
        <w:ilvl w:val="5"/>
        <w:numId w:val="1"/>
      </w:numPr>
      <w:spacing w:before="200"/>
      <w:jc w:val="left"/>
      <w:outlineLvl w:val="5"/>
    </w:pPr>
    <w:rPr>
      <w:rFonts w:asciiTheme="majorHAnsi" w:hAnsiTheme="majorHAnsi" w:eastAsiaTheme="majorEastAsia" w:cstheme="majorBidi"/>
      <w:color w:val="000000" w:themeColor="text1"/>
      <w:kern w:val="0"/>
      <w:sz w:val="24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link w:val="28"/>
    <w:unhideWhenUsed/>
    <w:qFormat/>
    <w:uiPriority w:val="9"/>
    <w:pPr>
      <w:keepNext/>
      <w:keepLines/>
      <w:widowControl/>
      <w:numPr>
        <w:ilvl w:val="6"/>
        <w:numId w:val="1"/>
      </w:numPr>
      <w:spacing w:before="200"/>
      <w:jc w:val="left"/>
      <w:outlineLvl w:val="6"/>
    </w:pPr>
    <w:rPr>
      <w:rFonts w:asciiTheme="majorHAnsi" w:hAnsiTheme="majorHAnsi" w:eastAsiaTheme="majorEastAsia" w:cstheme="majorBidi"/>
      <w:color w:val="000000" w:themeColor="text1"/>
      <w:kern w:val="0"/>
      <w:sz w:val="24"/>
      <w:szCs w:val="24"/>
      <w:lang w:eastAsia="en-US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link w:val="29"/>
    <w:unhideWhenUsed/>
    <w:qFormat/>
    <w:uiPriority w:val="9"/>
    <w:pPr>
      <w:keepNext/>
      <w:keepLines/>
      <w:widowControl/>
      <w:numPr>
        <w:ilvl w:val="7"/>
        <w:numId w:val="1"/>
      </w:numPr>
      <w:spacing w:before="200"/>
      <w:jc w:val="left"/>
      <w:outlineLvl w:val="7"/>
    </w:pPr>
    <w:rPr>
      <w:rFonts w:asciiTheme="majorHAnsi" w:hAnsiTheme="majorHAnsi" w:eastAsiaTheme="majorEastAsia" w:cstheme="majorBidi"/>
      <w:color w:val="000000" w:themeColor="text1"/>
      <w:kern w:val="0"/>
      <w:sz w:val="24"/>
      <w:szCs w:val="24"/>
      <w:lang w:eastAsia="en-US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link w:val="30"/>
    <w:unhideWhenUsed/>
    <w:qFormat/>
    <w:uiPriority w:val="9"/>
    <w:pPr>
      <w:keepNext/>
      <w:keepLines/>
      <w:widowControl/>
      <w:numPr>
        <w:ilvl w:val="8"/>
        <w:numId w:val="1"/>
      </w:numPr>
      <w:spacing w:before="200"/>
      <w:jc w:val="left"/>
      <w:outlineLvl w:val="8"/>
    </w:pPr>
    <w:rPr>
      <w:rFonts w:asciiTheme="majorHAnsi" w:hAnsiTheme="majorHAnsi" w:eastAsiaTheme="majorEastAsia" w:cstheme="majorBidi"/>
      <w:color w:val="000000" w:themeColor="text1"/>
      <w:kern w:val="0"/>
      <w:sz w:val="24"/>
      <w:szCs w:val="24"/>
      <w:lang w:eastAsia="en-US"/>
      <w14:textFill>
        <w14:solidFill>
          <w14:schemeClr w14:val="tx1"/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1"/>
    <w:semiHidden/>
    <w:unhideWhenUsed/>
    <w:uiPriority w:val="99"/>
    <w:pPr>
      <w:spacing w:after="120"/>
    </w:pPr>
  </w:style>
  <w:style w:type="paragraph" w:styleId="12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rPr>
      <w:rFonts w:ascii="Times New Roman" w:hAnsi="Times New Roman"/>
      <w:sz w:val="24"/>
      <w:szCs w:val="24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三线表新"/>
    <w:basedOn w:val="15"/>
    <w:qFormat/>
    <w:uiPriority w:val="99"/>
    <w:rPr>
      <w:rFonts w:eastAsia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pPr>
        <w:wordWrap/>
        <w:spacing w:line="360" w:lineRule="exact"/>
        <w:jc w:val="center"/>
      </w:pPr>
      <w:rPr>
        <w:rFonts w:ascii="ti" w:hAnsi="ti" w:eastAsia="宋体"/>
        <w:b w:val="0"/>
        <w:i w:val="0"/>
        <w:sz w:val="21"/>
      </w:rPr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9">
    <w:name w:val="页眉 字符"/>
    <w:basedOn w:val="17"/>
    <w:link w:val="13"/>
    <w:qFormat/>
    <w:uiPriority w:val="99"/>
    <w:rPr>
      <w:rFonts w:ascii="等线" w:hAnsi="等线" w:eastAsia="等线" w:cs="Times New Roman"/>
      <w:sz w:val="18"/>
      <w:szCs w:val="18"/>
      <w14:ligatures w14:val="none"/>
    </w:rPr>
  </w:style>
  <w:style w:type="character" w:customStyle="1" w:styleId="20">
    <w:name w:val="页脚 字符"/>
    <w:basedOn w:val="17"/>
    <w:link w:val="12"/>
    <w:qFormat/>
    <w:uiPriority w:val="99"/>
    <w:rPr>
      <w:rFonts w:ascii="等线" w:hAnsi="等线" w:eastAsia="等线" w:cs="Times New Roman"/>
      <w:sz w:val="18"/>
      <w:szCs w:val="18"/>
      <w14:ligatures w14:val="none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32"/>
      <w:szCs w:val="32"/>
      <w:lang w:eastAsia="en-US"/>
      <w14:textFill>
        <w14:solidFill>
          <w14:schemeClr w14:val="tx1"/>
        </w14:solidFill>
      </w14:textFill>
    </w:rPr>
  </w:style>
  <w:style w:type="character" w:customStyle="1" w:styleId="23">
    <w:name w:val="标题 2 字符"/>
    <w:basedOn w:val="17"/>
    <w:link w:val="4"/>
    <w:uiPriority w:val="9"/>
    <w:rPr>
      <w:rFonts w:asciiTheme="majorHAnsi" w:hAnsiTheme="majorHAnsi" w:eastAsiaTheme="majorEastAsia" w:cstheme="majorBidi"/>
      <w:b/>
      <w:bCs/>
      <w:color w:val="000000" w:themeColor="text1"/>
      <w:sz w:val="32"/>
      <w:szCs w:val="32"/>
      <w:lang w:eastAsia="en-US"/>
      <w14:textFill>
        <w14:solidFill>
          <w14:schemeClr w14:val="tx1"/>
        </w14:solidFill>
      </w14:textFill>
    </w:rPr>
  </w:style>
  <w:style w:type="character" w:customStyle="1" w:styleId="24">
    <w:name w:val="标题 3 字符"/>
    <w:basedOn w:val="17"/>
    <w:link w:val="5"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:lang w:eastAsia="en-US"/>
      <w14:textFill>
        <w14:solidFill>
          <w14:schemeClr w14:val="tx1"/>
        </w14:solidFill>
      </w14:textFill>
    </w:rPr>
  </w:style>
  <w:style w:type="character" w:customStyle="1" w:styleId="25">
    <w:name w:val="标题 4 字符"/>
    <w:basedOn w:val="17"/>
    <w:link w:val="6"/>
    <w:uiPriority w:val="9"/>
    <w:rPr>
      <w:rFonts w:asciiTheme="majorHAnsi" w:hAnsiTheme="majorHAnsi" w:eastAsiaTheme="majorEastAsia" w:cstheme="majorBidi"/>
      <w:b/>
      <w:bCs/>
      <w:color w:val="000000" w:themeColor="text1"/>
      <w:sz w:val="24"/>
      <w:szCs w:val="24"/>
      <w:lang w:eastAsia="en-US"/>
      <w14:textFill>
        <w14:solidFill>
          <w14:schemeClr w14:val="tx1"/>
        </w14:solidFill>
      </w14:textFill>
    </w:rPr>
  </w:style>
  <w:style w:type="character" w:customStyle="1" w:styleId="26">
    <w:name w:val="标题 5 字符"/>
    <w:basedOn w:val="17"/>
    <w:link w:val="7"/>
    <w:uiPriority w:val="9"/>
    <w:rPr>
      <w:rFonts w:asciiTheme="majorHAnsi" w:hAnsiTheme="majorHAnsi" w:eastAsiaTheme="majorEastAsia" w:cstheme="majorBidi"/>
      <w:i/>
      <w:iCs/>
      <w:color w:val="000000" w:themeColor="text1"/>
      <w:sz w:val="24"/>
      <w:szCs w:val="24"/>
      <w:lang w:eastAsia="en-US"/>
      <w14:textFill>
        <w14:solidFill>
          <w14:schemeClr w14:val="tx1"/>
        </w14:solidFill>
      </w14:textFill>
    </w:rPr>
  </w:style>
  <w:style w:type="character" w:customStyle="1" w:styleId="27">
    <w:name w:val="标题 6 字符"/>
    <w:basedOn w:val="17"/>
    <w:link w:val="8"/>
    <w:uiPriority w:val="9"/>
    <w:rPr>
      <w:rFonts w:asciiTheme="majorHAnsi" w:hAnsiTheme="majorHAnsi" w:eastAsiaTheme="majorEastAsia" w:cstheme="majorBidi"/>
      <w:color w:val="000000" w:themeColor="text1"/>
      <w:sz w:val="24"/>
      <w:szCs w:val="24"/>
      <w:lang w:eastAsia="en-US"/>
      <w14:textFill>
        <w14:solidFill>
          <w14:schemeClr w14:val="tx1"/>
        </w14:solidFill>
      </w14:textFill>
    </w:rPr>
  </w:style>
  <w:style w:type="character" w:customStyle="1" w:styleId="28">
    <w:name w:val="标题 7 字符"/>
    <w:basedOn w:val="17"/>
    <w:link w:val="9"/>
    <w:uiPriority w:val="9"/>
    <w:rPr>
      <w:rFonts w:asciiTheme="majorHAnsi" w:hAnsiTheme="majorHAnsi" w:eastAsiaTheme="majorEastAsia" w:cstheme="majorBidi"/>
      <w:color w:val="000000" w:themeColor="text1"/>
      <w:sz w:val="24"/>
      <w:szCs w:val="24"/>
      <w:lang w:eastAsia="en-US"/>
      <w14:textFill>
        <w14:solidFill>
          <w14:schemeClr w14:val="tx1"/>
        </w14:solidFill>
      </w14:textFill>
    </w:rPr>
  </w:style>
  <w:style w:type="character" w:customStyle="1" w:styleId="29">
    <w:name w:val="标题 8 字符"/>
    <w:basedOn w:val="17"/>
    <w:link w:val="10"/>
    <w:uiPriority w:val="9"/>
    <w:rPr>
      <w:rFonts w:asciiTheme="majorHAnsi" w:hAnsiTheme="majorHAnsi" w:eastAsiaTheme="majorEastAsia" w:cstheme="majorBidi"/>
      <w:color w:val="000000" w:themeColor="text1"/>
      <w:sz w:val="24"/>
      <w:szCs w:val="24"/>
      <w:lang w:eastAsia="en-US"/>
      <w14:textFill>
        <w14:solidFill>
          <w14:schemeClr w14:val="tx1"/>
        </w14:solidFill>
      </w14:textFill>
    </w:rPr>
  </w:style>
  <w:style w:type="character" w:customStyle="1" w:styleId="30">
    <w:name w:val="标题 9 字符"/>
    <w:basedOn w:val="17"/>
    <w:link w:val="11"/>
    <w:uiPriority w:val="9"/>
    <w:rPr>
      <w:rFonts w:asciiTheme="majorHAnsi" w:hAnsiTheme="majorHAnsi" w:eastAsiaTheme="majorEastAsia" w:cstheme="majorBidi"/>
      <w:color w:val="000000" w:themeColor="text1"/>
      <w:sz w:val="24"/>
      <w:szCs w:val="24"/>
      <w:lang w:eastAsia="en-US"/>
      <w14:textFill>
        <w14:solidFill>
          <w14:schemeClr w14:val="tx1"/>
        </w14:solidFill>
      </w14:textFill>
    </w:rPr>
  </w:style>
  <w:style w:type="character" w:customStyle="1" w:styleId="31">
    <w:name w:val="正文文本 字符"/>
    <w:basedOn w:val="17"/>
    <w:link w:val="3"/>
    <w:semiHidden/>
    <w:uiPriority w:val="99"/>
    <w:rPr>
      <w:rFonts w:ascii="等线" w:hAnsi="等线" w:eastAsia="等线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640</Words>
  <Characters>3649</Characters>
  <Lines>30</Lines>
  <Paragraphs>8</Paragraphs>
  <TotalTime>30</TotalTime>
  <ScaleCrop>false</ScaleCrop>
  <LinksUpToDate>false</LinksUpToDate>
  <CharactersWithSpaces>4281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2024-09-02T16:51:00Z</dcterms:created>
  <dc:creator>jiana 郭</dc:creator>
  <cp:lastModifiedBy>小老白。</cp:lastModifiedBy>
  <dcterms:modified xsi:type="dcterms:W3CDTF">2024-09-02T23:00:14Z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F3BF4D55BC386FF188CBD566D8C21414_43</vt:lpwstr>
  </property>
</Properties>
</file>