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mace组与非mace一般资料对比 （表1）</w:t>
      </w:r>
    </w:p>
    <w:p>
      <w:pPr>
        <w:ind w:left="360"/>
        <w:rPr>
          <w:rFonts w:hint="eastAsia"/>
        </w:rPr>
      </w:pPr>
      <w:bookmarkStart w:id="0" w:name="_Hlk175926180"/>
      <w:r>
        <w:rPr>
          <w:rFonts w:hint="eastAsia"/>
        </w:rPr>
        <w:t>脑血管病、</w:t>
      </w:r>
      <w:r>
        <w:rPr>
          <w:rFonts w:hint="eastAsia"/>
          <w:highlight w:val="yellow"/>
        </w:rPr>
        <w:t>糖尿病</w:t>
      </w:r>
      <w:r>
        <w:rPr>
          <w:rFonts w:hint="eastAsia"/>
        </w:rPr>
        <w:t>、心功能、冠脉病变严重程度，心率、</w:t>
      </w:r>
      <w:r>
        <w:rPr>
          <w:rFonts w:hint="eastAsia"/>
          <w:highlight w:val="yellow"/>
        </w:rPr>
        <w:t>LDL-C、HDL-C</w:t>
      </w:r>
      <w:r>
        <w:rPr>
          <w:rFonts w:hint="eastAsia"/>
        </w:rPr>
        <w:t>、</w:t>
      </w:r>
      <w:r>
        <w:rPr>
          <w:rFonts w:hint="eastAsia"/>
          <w:highlight w:val="yellow"/>
        </w:rPr>
        <w:t>FBG</w:t>
      </w:r>
      <w:r>
        <w:rPr>
          <w:rFonts w:hint="eastAsia"/>
        </w:rPr>
        <w:t>、CK-MB、TG、肌钙蛋白I、肌钙蛋白T、肌红蛋白、</w:t>
      </w:r>
      <w:r>
        <w:rPr>
          <w:rFonts w:hint="eastAsia"/>
          <w:highlight w:val="yellow"/>
        </w:rPr>
        <w:t>糖化血红蛋白</w:t>
      </w:r>
      <w:r>
        <w:rPr>
          <w:rFonts w:hint="eastAsia"/>
        </w:rPr>
        <w:t>、NT-proBNP、L</w:t>
      </w:r>
      <w:r>
        <w:rPr>
          <w:rFonts w:hint="eastAsia"/>
          <w:highlight w:val="yellow"/>
        </w:rPr>
        <w:t>VEF、TyG指数、TG/HDL</w:t>
      </w:r>
      <w:bookmarkEnd w:id="0"/>
      <w:r>
        <w:rPr>
          <w:rFonts w:hint="eastAsia"/>
        </w:rPr>
        <w:t>。P＜0.05</w:t>
      </w:r>
    </w:p>
    <w:tbl>
      <w:tblPr>
        <w:tblStyle w:val="6"/>
        <w:tblW w:w="10075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2688"/>
        <w:gridCol w:w="2415"/>
        <w:gridCol w:w="1068"/>
        <w:gridCol w:w="13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 w:val="0"/>
                <w:i w:val="0"/>
                <w:sz w:val="21"/>
              </w:rPr>
            </w:pPr>
            <w:r>
              <w:rPr>
                <w:rFonts w:hint="eastAsia" w:ascii="Times New Roman" w:hAnsi="Times New Roman"/>
                <w:b/>
                <w:bCs/>
                <w:i w:val="0"/>
                <w:sz w:val="21"/>
              </w:rPr>
              <w:t>指标</w:t>
            </w:r>
          </w:p>
        </w:tc>
        <w:tc>
          <w:tcPr>
            <w:tcW w:w="268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/>
                <w:bCs/>
                <w:i w:val="0"/>
                <w:sz w:val="21"/>
              </w:rPr>
            </w:pPr>
            <w:r>
              <w:rPr>
                <w:rFonts w:hint="eastAsia" w:ascii="Times New Roman" w:hAnsi="Times New Roman"/>
                <w:b/>
                <w:bCs/>
                <w:i w:val="0"/>
                <w:sz w:val="21"/>
              </w:rPr>
              <w:t>mace(n=59)</w:t>
            </w:r>
          </w:p>
        </w:tc>
        <w:tc>
          <w:tcPr>
            <w:tcW w:w="2415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 w:val="0"/>
                <w:i w:val="0"/>
                <w:sz w:val="21"/>
              </w:rPr>
            </w:pPr>
            <w:r>
              <w:rPr>
                <w:rFonts w:hint="eastAsia" w:ascii="Times New Roman" w:hAnsi="Times New Roman"/>
                <w:b/>
                <w:bCs/>
                <w:i w:val="0"/>
                <w:sz w:val="21"/>
              </w:rPr>
              <w:t>非mace(n=401)</w:t>
            </w:r>
          </w:p>
        </w:tc>
        <w:tc>
          <w:tcPr>
            <w:tcW w:w="106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/>
                <w:bCs/>
                <w:i w:val="0"/>
                <w:sz w:val="21"/>
              </w:rPr>
            </w:pPr>
          </w:p>
        </w:tc>
        <w:tc>
          <w:tcPr>
            <w:tcW w:w="1352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</w:tcPr>
          <w:p>
            <w:pPr>
              <w:wordWrap/>
              <w:spacing w:line="360" w:lineRule="exact"/>
              <w:rPr>
                <w:rFonts w:ascii="Times New Roman" w:hAnsi="Times New Roman"/>
                <w:b w:val="0"/>
                <w:i w:val="0"/>
                <w:sz w:val="21"/>
              </w:rPr>
            </w:pPr>
            <w:r>
              <w:rPr>
                <w:rFonts w:hint="eastAsia" w:ascii="Times New Roman" w:hAnsi="Times New Roman"/>
                <w:b/>
                <w:bCs/>
                <w:i w:val="0"/>
                <w:sz w:val="21"/>
              </w:rPr>
              <w:t>p-value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spacing w:before="156" w:beforeLines="50" w:after="156" w:afterLines="50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</w:rPr>
              <w:t>人口学信息资料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年龄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66.0(63.97,72.03)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66.77(63.0,71.0)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12434.5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0.526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性别（男性）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77.97%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77.31%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吸烟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35.59%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38.4%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0.0738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0.7859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高血压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72.88%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64.34%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1.3031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0.2536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糖尿病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49.15%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33.17%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5.0813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0.0242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脑血管病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16.95%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5.99%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7.5018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0.0062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冠心病病史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8.47%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5.74%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0.2808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0.5961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spacing w:before="156" w:beforeLines="50" w:after="156" w:afterLines="50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临床资料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收缩压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116.0(104.0,124.5)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120.0(110.0,132.0)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10366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0.1245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舒张压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70.0(62.5,80.0)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70.0(65.0,80.0)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11160.5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0.4813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心率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80.0(70.0,88.5)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71.0(65.0,80.0)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14924.5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LDL-C(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3.09±0.97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2.59±0.91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3.8444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bookmarkStart w:id="1" w:name="_Hlk174966974"/>
            <w:r>
              <w:rPr>
                <w:rFonts w:hint="eastAsia" w:ascii="Times New Roman" w:hAnsi="Times New Roman" w:eastAsia="宋体"/>
                <w:color w:val="000000"/>
                <w:sz w:val="22"/>
              </w:rPr>
              <w:t>HDL-C(</w:t>
            </w:r>
            <w:bookmarkEnd w:id="1"/>
            <w:r>
              <w:rPr>
                <w:rFonts w:hint="eastAsia" w:ascii="Times New Roman" w:hAnsi="Times New Roman" w:eastAsia="宋体"/>
                <w:color w:val="000000"/>
                <w:sz w:val="22"/>
              </w:rPr>
              <w:t xml:space="preserve">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1.25±0.31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0.94±0.29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7.6594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TC(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4.11(3.67,5.13)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4.36(3.7,5.06)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11461.5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0.6999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TG(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1.77(1.32,2.29)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0.92(0.42,1.63)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17825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FBG(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7.46(6.1,9.45)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6.57(5.41,8.6)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14909.5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0.0012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 w:cs="宋体"/>
              </w:rPr>
              <w:t>糖化血红蛋白（%）</w:t>
            </w:r>
          </w:p>
        </w:tc>
        <w:tc>
          <w:tcPr>
            <w:tcW w:w="2688" w:type="dxa"/>
            <w:shd w:val="clear" w:color="auto" w:fill="auto"/>
          </w:tcPr>
          <w:p>
            <w:pPr>
              <w:widowControl/>
              <w:rPr>
                <w:rFonts w:hint="eastAsia" w:ascii="宋体" w:hAnsi="宋体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7.24(6.0,7.24)</w:t>
            </w:r>
          </w:p>
        </w:tc>
        <w:tc>
          <w:tcPr>
            <w:tcW w:w="2415" w:type="dxa"/>
            <w:shd w:val="clear" w:color="auto" w:fill="auto"/>
          </w:tcPr>
          <w:p>
            <w:pPr>
              <w:widowControl/>
              <w:rPr>
                <w:rFonts w:hint="eastAsia" w:ascii="宋体" w:hAnsi="宋体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6.71(5.8,6.9)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9469.5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0.0104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血肌酐( mmol·L-1 )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84.4(68.5,103.34)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80.1(67.6,99.34)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12602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0.4181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Hb（g·mL-1）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142.0(131.5,149.0)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142.0(132.0,151.0)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11486.5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0.7193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CK-MB</w:t>
            </w:r>
            <w:r>
              <w:rPr>
                <w:rFonts w:hint="eastAsia" w:ascii="Times New Roman" w:hAnsi="Times New Roman" w:eastAsia="宋体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</w:rPr>
              <w:t>（</w:t>
            </w: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ng·mL-1</w:t>
            </w:r>
            <w:r>
              <w:rPr>
                <w:rFonts w:hint="eastAsia" w:ascii="Times New Roman" w:hAnsi="Times New Roman" w:eastAsia="宋体" w:cs="宋体"/>
              </w:rPr>
              <w:t>）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155.0(49.64,299.0)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102.0(17.7,224.08)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14244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0.0113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bookmarkStart w:id="2" w:name="_Hlk174826736"/>
            <w:r>
              <w:rPr>
                <w:rFonts w:hint="eastAsia" w:ascii="Times New Roman" w:hAnsi="Times New Roman" w:eastAsia="宋体"/>
                <w:color w:val="000000"/>
                <w:sz w:val="22"/>
              </w:rPr>
              <w:t>肌钙蛋白I</w:t>
            </w:r>
            <w:r>
              <w:rPr>
                <w:rFonts w:hint="eastAsia" w:ascii="Times New Roman" w:hAnsi="Times New Roman" w:eastAsia="宋体" w:cs="宋体"/>
                <w:color w:val="000000"/>
                <w:sz w:val="22"/>
              </w:rPr>
              <w:t>（</w:t>
            </w: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pg·mL-1</w:t>
            </w:r>
            <w:r>
              <w:rPr>
                <w:rFonts w:hint="eastAsia" w:ascii="Times New Roman" w:hAnsi="Times New Roman" w:eastAsia="宋体" w:cs="宋体"/>
                <w:color w:val="000000"/>
                <w:sz w:val="22"/>
              </w:rPr>
              <w:t>）</w:t>
            </w:r>
            <w:bookmarkEnd w:id="2"/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55.61(13.18,102.0)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33.0(3.53,102.0)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13381.5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0.103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肌钙蛋白T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501.5(501.5,501.5)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496.42(496.42,496.42)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22974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MYO</w:t>
            </w:r>
            <w:r>
              <w:rPr>
                <w:rFonts w:hint="eastAsia" w:ascii="Times New Roman" w:hAnsi="Times New Roman" w:eastAsia="宋体" w:cs="宋体"/>
              </w:rPr>
              <w:t>（</w:t>
            </w: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ng·mL-1</w:t>
            </w:r>
            <w:r>
              <w:rPr>
                <w:rFonts w:hint="eastAsia" w:ascii="Times New Roman" w:hAnsi="Times New Roman" w:eastAsia="宋体" w:cs="宋体"/>
              </w:rPr>
              <w:t>）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712.64(599.85,712.64)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388.26(194.0,388.26)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18250.5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NT-proBNP( pg·mL-1 )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5645.57(5645.57,5645.57)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610.02(610.02,610.02)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21261</w:t>
            </w: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bookmarkStart w:id="3" w:name="_Hlk174826789"/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TyG指数</w:t>
            </w:r>
            <w:bookmarkEnd w:id="3"/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  <w:highlight w:val="green"/>
                <w:lang w:val="en-US" w:eastAsia="zh-CN"/>
              </w:rPr>
              <w:t>9.31</w:t>
            </w:r>
            <w:r>
              <w:rPr>
                <w:rFonts w:hint="eastAsia"/>
                <w:color w:val="000000"/>
                <w:sz w:val="22"/>
                <w:highlight w:val="green"/>
              </w:rPr>
              <w:t>(</w:t>
            </w:r>
            <w:r>
              <w:rPr>
                <w:rFonts w:hint="eastAsia"/>
                <w:color w:val="000000"/>
                <w:sz w:val="22"/>
                <w:highlight w:val="green"/>
                <w:lang w:val="en-US" w:eastAsia="zh-CN"/>
              </w:rPr>
              <w:t>8.95</w:t>
            </w:r>
            <w:r>
              <w:rPr>
                <w:rFonts w:hint="eastAsia"/>
                <w:color w:val="000000"/>
                <w:sz w:val="22"/>
                <w:highlight w:val="green"/>
              </w:rPr>
              <w:t>,</w:t>
            </w:r>
            <w:r>
              <w:rPr>
                <w:rFonts w:hint="eastAsia"/>
                <w:color w:val="000000"/>
                <w:sz w:val="22"/>
                <w:highlight w:val="green"/>
                <w:lang w:val="en-US" w:eastAsia="zh-CN"/>
              </w:rPr>
              <w:t>9.65</w:t>
            </w:r>
            <w:r>
              <w:rPr>
                <w:rFonts w:hint="eastAsia"/>
                <w:color w:val="000000"/>
                <w:sz w:val="22"/>
                <w:highlight w:val="green"/>
              </w:rPr>
              <w:t>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  <w:highlight w:val="green"/>
                <w:lang w:val="en-US" w:eastAsia="zh-CN"/>
              </w:rPr>
              <w:t>8.51</w:t>
            </w:r>
            <w:r>
              <w:rPr>
                <w:rFonts w:hint="eastAsia"/>
                <w:color w:val="000000"/>
                <w:sz w:val="22"/>
                <w:highlight w:val="green"/>
              </w:rPr>
              <w:t>(</w:t>
            </w:r>
            <w:r>
              <w:rPr>
                <w:rFonts w:hint="eastAsia"/>
                <w:color w:val="000000"/>
                <w:sz w:val="22"/>
                <w:highlight w:val="green"/>
                <w:lang w:val="en-US" w:eastAsia="zh-CN"/>
              </w:rPr>
              <w:t>7.73</w:t>
            </w:r>
            <w:r>
              <w:rPr>
                <w:rFonts w:hint="eastAsia"/>
                <w:color w:val="000000"/>
                <w:sz w:val="22"/>
                <w:highlight w:val="green"/>
              </w:rPr>
              <w:t>,</w:t>
            </w:r>
            <w:r>
              <w:rPr>
                <w:rFonts w:hint="eastAsia"/>
                <w:color w:val="000000"/>
                <w:sz w:val="22"/>
                <w:highlight w:val="green"/>
                <w:lang w:val="en-US" w:eastAsia="zh-CN"/>
              </w:rPr>
              <w:t>9.19</w:t>
            </w:r>
            <w:r>
              <w:rPr>
                <w:rFonts w:hint="eastAsia"/>
                <w:color w:val="000000"/>
                <w:sz w:val="22"/>
                <w:highlight w:val="green"/>
              </w:rPr>
              <w:t>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18204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TG/HDL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1.43(1.04,2.05)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1.03(0.46,1.92)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14836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0.0016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LVEF(%)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48.0(41.0,53.0)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53.77(50.0,58.0)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6797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行PCI术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89.83%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91.77%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0.5244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0.469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分型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STEMI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91.53%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91.77%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NSTEMI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6.78</w:t>
            </w:r>
            <w:r>
              <w:rPr>
                <w:rFonts w:ascii="Times New Roman" w:hAnsi="Times New Roman" w:eastAsia="宋体"/>
                <w:color w:val="000000"/>
                <w:sz w:val="22"/>
              </w:rPr>
              <w:t>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8.23%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UAP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1.69%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 w:ascii="Times New Roman" w:hAnsi="Times New Roman" w:eastAsia="宋体"/>
                <w:color w:val="000000"/>
                <w:sz w:val="22"/>
              </w:rPr>
              <w:t>0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K</w:t>
            </w:r>
            <w:r>
              <w:rPr>
                <w:rFonts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illip</w:t>
            </w: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分级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52.4801</w:t>
            </w: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＜0.01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I级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50.85%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/>
                <w:color w:val="000000"/>
                <w:sz w:val="22"/>
              </w:rPr>
              <w:t>11.97%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bookmarkStart w:id="4" w:name="_Hlk174961004"/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II-III级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5</w:t>
            </w:r>
            <w:r>
              <w:rPr>
                <w:rFonts w:ascii="Times New Roman" w:hAnsi="Times New Roman" w:eastAsia="宋体"/>
              </w:rPr>
              <w:t>8.74%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  <w:r>
              <w:rPr>
                <w:rFonts w:ascii="Times New Roman" w:hAnsi="Times New Roman" w:eastAsia="宋体"/>
              </w:rPr>
              <w:t>0.49%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bookmarkEnd w:id="4"/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b/>
                <w:bCs/>
                <w:color w:val="000000"/>
                <w:kern w:val="0"/>
                <w:sz w:val="22"/>
              </w:rPr>
              <w:t>血管病变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1.8187</w:t>
            </w: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0.4028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单支</w:t>
            </w:r>
          </w:p>
        </w:tc>
        <w:tc>
          <w:tcPr>
            <w:tcW w:w="2688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83.05%</w:t>
            </w:r>
          </w:p>
        </w:tc>
        <w:tc>
          <w:tcPr>
            <w:tcW w:w="2415" w:type="dxa"/>
            <w:shd w:val="clear" w:color="auto" w:fill="auto"/>
            <w:vAlign w:val="bottom"/>
          </w:tcPr>
          <w:p>
            <w:pPr>
              <w:widowControl/>
              <w:rPr>
                <w:rFonts w:ascii="Times New Roman" w:hAnsi="Times New Roman" w:eastAsia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89.03%</w:t>
            </w:r>
          </w:p>
        </w:tc>
        <w:tc>
          <w:tcPr>
            <w:tcW w:w="1068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双支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6.78%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4.74%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52" w:type="dxa"/>
            <w:shd w:val="clear" w:color="auto" w:fill="auto"/>
          </w:tcPr>
          <w:p>
            <w:pPr>
              <w:rPr>
                <w:rFonts w:ascii="Times New Roman" w:hAnsi="Times New Roman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宋体" w:cs="宋体"/>
                <w:color w:val="000000"/>
                <w:kern w:val="0"/>
                <w:sz w:val="22"/>
              </w:rPr>
              <w:t>多支</w:t>
            </w:r>
          </w:p>
        </w:tc>
        <w:tc>
          <w:tcPr>
            <w:tcW w:w="268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10.17%</w:t>
            </w:r>
          </w:p>
        </w:tc>
        <w:tc>
          <w:tcPr>
            <w:tcW w:w="2415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6.23%</w:t>
            </w:r>
          </w:p>
        </w:tc>
        <w:tc>
          <w:tcPr>
            <w:tcW w:w="1068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  <w:tc>
          <w:tcPr>
            <w:tcW w:w="1352" w:type="dxa"/>
            <w:shd w:val="clear" w:color="auto" w:fill="auto"/>
          </w:tcPr>
          <w:p>
            <w:pPr>
              <w:rPr>
                <w:rFonts w:ascii="Times New Roman" w:hAnsi="Times New Roman" w:eastAsia="宋体"/>
              </w:rPr>
            </w:pPr>
          </w:p>
        </w:tc>
      </w:tr>
    </w:tbl>
    <w:p>
      <w:pPr>
        <w:numPr>
          <w:ilvl w:val="0"/>
          <w:numId w:val="1"/>
        </w:numPr>
        <w:ind w:left="360" w:leftChars="0" w:hanging="36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TYG，TG/HDL-C 组间比较箱式图（eg：图1）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等线"/>
          <w:b/>
          <w:bCs/>
          <w:lang w:eastAsia="zh-CN"/>
        </w:rPr>
      </w:pPr>
      <w:r>
        <w:rPr>
          <w:rFonts w:hint="eastAsia" w:eastAsia="等线"/>
          <w:b/>
          <w:bCs/>
          <w:lang w:eastAsia="zh-CN"/>
        </w:rPr>
        <w:drawing>
          <wp:inline distT="0" distB="0" distL="114300" distR="114300">
            <wp:extent cx="2701290" cy="2026285"/>
            <wp:effectExtent l="0" t="0" r="16510" b="5715"/>
            <wp:docPr id="1" name="图片 1" descr="TyG指数箱线图-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yG指数箱线图-s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等线"/>
          <w:b/>
          <w:bCs/>
          <w:lang w:eastAsia="zh-CN"/>
        </w:rPr>
        <w:drawing>
          <wp:inline distT="0" distB="0" distL="114300" distR="114300">
            <wp:extent cx="2750185" cy="2063115"/>
            <wp:effectExtent l="0" t="0" r="18415" b="19685"/>
            <wp:docPr id="2" name="图片 2" descr="TGHDL-C箱线图-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GHDL-C箱线图-s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3.单+多因素 Ｌｏｇｉｓｔｉｃ回归分析（表2，森林图2）</w:t>
      </w:r>
    </w:p>
    <w:tbl>
      <w:tblPr>
        <w:tblStyle w:val="4"/>
        <w:tblpPr w:leftFromText="180" w:rightFromText="180" w:vertAnchor="text" w:horzAnchor="page" w:tblpX="2838" w:tblpY="303"/>
        <w:tblOverlap w:val="never"/>
        <w:tblW w:w="4995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666"/>
        <w:gridCol w:w="666"/>
        <w:gridCol w:w="598"/>
        <w:gridCol w:w="896"/>
        <w:gridCol w:w="2493"/>
        <w:gridCol w:w="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92" w:hRule="atLeast"/>
          <w:tblHeader/>
        </w:trPr>
        <w:tc>
          <w:tcPr>
            <w:tcW w:w="1791" w:type="pct"/>
            <w:tcBorders>
              <w:top w:val="single" w:color="auto" w:sz="12" w:space="0"/>
              <w:bottom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hint="eastAsia" w:ascii="Times New Roman" w:hAns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Variable</w:t>
            </w:r>
          </w:p>
        </w:tc>
        <w:tc>
          <w:tcPr>
            <w:tcW w:w="401" w:type="pct"/>
            <w:tcBorders>
              <w:top w:val="single" w:color="auto" w:sz="12" w:space="0"/>
              <w:bottom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β</w:t>
            </w:r>
          </w:p>
        </w:tc>
        <w:tc>
          <w:tcPr>
            <w:tcW w:w="401" w:type="pct"/>
            <w:tcBorders>
              <w:top w:val="single" w:color="auto" w:sz="12" w:space="0"/>
              <w:bottom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S.E</w:t>
            </w:r>
          </w:p>
        </w:tc>
        <w:tc>
          <w:tcPr>
            <w:tcW w:w="360" w:type="pct"/>
            <w:tcBorders>
              <w:top w:val="single" w:color="auto" w:sz="12" w:space="0"/>
              <w:bottom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Z</w:t>
            </w:r>
          </w:p>
        </w:tc>
        <w:tc>
          <w:tcPr>
            <w:tcW w:w="540" w:type="pct"/>
            <w:tcBorders>
              <w:top w:val="single" w:color="auto" w:sz="12" w:space="0"/>
              <w:bottom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W w:w="1499" w:type="pct"/>
            <w:tcBorders>
              <w:top w:val="single" w:color="auto" w:sz="12" w:space="0"/>
              <w:bottom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 (95%CI)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单因素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</w:pP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合并糖尿病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0.67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0.28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2.37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0.018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1.95 (1.12 ~ 3.38)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脑血管病史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1.16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0.41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2.87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0.004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3.21 (1.45 ~ 7.10)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心率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0.03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2.92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0.003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1.03 (1.01 ~ 1.05)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HDL-C检测值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3.33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0.50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6.59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27.85 (10.35 ~ 74.91)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TG检测值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0.42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0.11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3.85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&lt;.001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1.52 (1.23 ~ 1.89)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空腹血糖检测值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0.11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0.04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2.80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0.005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1.12 (1.03 ~ 1.21)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CK-MB最高值检测值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2.40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0.016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肌钙蛋白T最高值检测值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0.987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(1.00 ~ 1.00)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肌红蛋白最高值检测值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0.01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2.25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0.025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1.01 (1.01 ~ 1.01)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TyG指数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1.05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0.18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5.76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&lt;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i w:val="0"/>
                <w:color w:val="FF0000"/>
                <w:sz w:val="21"/>
                <w:szCs w:val="21"/>
                <w:u w:val="none"/>
              </w:rPr>
              <w:t>.001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2.87 (2.00 ~ 4.11)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TG/HDL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0.00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0.06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0.07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color w:val="FF0000"/>
                <w:sz w:val="21"/>
                <w:lang w:val="en-US" w:eastAsia="zh-CN"/>
              </w:rPr>
              <w:t>&lt;0.001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1.00 (0.89 ~ 1.14)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right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多因素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 Bold"/>
                <w:b/>
                <w:bCs/>
                <w:i w:val="0"/>
                <w:color w:val="FF0000"/>
                <w:sz w:val="21"/>
                <w:szCs w:val="21"/>
                <w:u w:val="none"/>
              </w:rPr>
            </w:pP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TyG指数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3.2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1.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47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2.22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eastAsia="宋体" w:cs="Times New Roman Bold"/>
                <w:b/>
                <w:bCs/>
                <w:i w:val="0"/>
                <w:color w:val="FF0000"/>
                <w:sz w:val="21"/>
                <w:szCs w:val="21"/>
                <w:u w:val="none"/>
              </w:rPr>
              <w:t>0.02</w:t>
            </w:r>
            <w:r>
              <w:rPr>
                <w:rFonts w:hint="default" w:ascii="Times New Roman" w:hAnsi="Times New Roman" w:eastAsia="宋体" w:cs="Times New Roman Bold"/>
                <w:b/>
                <w:bCs/>
                <w:i w:val="0"/>
                <w:color w:val="FF0000"/>
                <w:sz w:val="21"/>
                <w:szCs w:val="21"/>
                <w:u w:val="none"/>
                <w:lang w:val="en-US" w:eastAsia="zh-CN"/>
              </w:rPr>
              <w:t>6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  <w:t>12.55 (6.26 ~ 25.19)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179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TG/HDL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1.15</w:t>
            </w:r>
          </w:p>
        </w:tc>
        <w:tc>
          <w:tcPr>
            <w:tcW w:w="40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0.24</w:t>
            </w:r>
          </w:p>
        </w:tc>
        <w:tc>
          <w:tcPr>
            <w:tcW w:w="3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4.79</w:t>
            </w:r>
          </w:p>
        </w:tc>
        <w:tc>
          <w:tcPr>
            <w:tcW w:w="54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eastAsia="宋体" w:cs="Times New Roman Bold"/>
                <w:b/>
                <w:bCs/>
                <w:i w:val="0"/>
                <w:color w:val="FF0000"/>
                <w:sz w:val="21"/>
                <w:szCs w:val="21"/>
                <w:u w:val="none"/>
              </w:rPr>
              <w:t>0.</w:t>
            </w:r>
            <w:r>
              <w:rPr>
                <w:rFonts w:hint="default" w:ascii="Times New Roman" w:hAnsi="Times New Roman" w:eastAsia="宋体" w:cs="Times New Roman Bold"/>
                <w:b/>
                <w:bCs/>
                <w:i w:val="0"/>
                <w:color w:val="FF0000"/>
                <w:sz w:val="21"/>
                <w:szCs w:val="21"/>
                <w:u w:val="none"/>
                <w:lang w:val="en-US" w:eastAsia="zh-CN"/>
              </w:rPr>
              <w:t>0</w:t>
            </w:r>
            <w:r>
              <w:rPr>
                <w:rFonts w:hint="default" w:ascii="Times New Roman" w:hAnsi="Times New Roman" w:eastAsia="宋体" w:cs="Times New Roman Bold"/>
                <w:b/>
                <w:bCs/>
                <w:i w:val="0"/>
                <w:color w:val="FF0000"/>
                <w:sz w:val="21"/>
                <w:szCs w:val="21"/>
                <w:u w:val="none"/>
              </w:rPr>
              <w:t>43</w:t>
            </w:r>
          </w:p>
        </w:tc>
        <w:tc>
          <w:tcPr>
            <w:tcW w:w="149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kern w:val="2"/>
                <w:sz w:val="21"/>
                <w:szCs w:val="22"/>
                <w:lang w:val="en-US" w:eastAsia="zh-CN" w:bidi="ar-SA"/>
                <w14:ligatures w14:val="none"/>
              </w:rPr>
            </w:pPr>
            <w:r>
              <w:rPr>
                <w:rFonts w:hint="eastAsia" w:ascii="Times New Roman" w:hAnsi="Times New Roman" w:eastAsia="宋体"/>
                <w:sz w:val="21"/>
                <w:lang w:val="en-US" w:eastAsia="zh-CN"/>
              </w:rPr>
              <w:t>0.32(0.2~0.51)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3" w:hRule="atLeast"/>
        </w:trPr>
        <w:tc>
          <w:tcPr>
            <w:tcW w:w="4995" w:type="pct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ascii="Times New Roman" w:hAnsi="Times New Roman" w:eastAsia="宋体" w:cs="Times New Roman"/>
                <w:b w:val="0"/>
                <w:i w:val="0"/>
                <w:color w:val="000000"/>
                <w:sz w:val="21"/>
                <w:szCs w:val="21"/>
                <w:u w:val="none"/>
              </w:rPr>
              <w:t>OR: Odds Ratio, CI: Confidence Interval</w:t>
            </w:r>
          </w:p>
        </w:tc>
        <w:tc>
          <w:tcPr>
            <w:tcW w:w="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/>
                <w:sz w:val="21"/>
              </w:rPr>
            </w:pPr>
          </w:p>
        </w:tc>
      </w:tr>
    </w:tbl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</w:pPr>
      <w:r>
        <w:rPr>
          <w:rFonts w:hint="eastAsia"/>
        </w:rPr>
        <w:t>以是否发生 ＭＡＣＥ 作 为 终 点 指 标，将 各 单 因 素年 龄、ＨＲ、ＦＢＧ、ＨｂＡ１Ｃ、ＴＧ、Ｃｒ、ＵＡ、ＧＲＡＣＥ 评分、ＴｙＧ 指 数 （Ｐ＜０．０１）纳 入 Ｃｏｘ 生 存 分 析。 多因素 Ｃｏｘ 生 存 分 析 显 示：调 整 多 因 素 后，Ｇｒａｃｅ 评 分 （ＨＲ　１．０３８，Ｐ ＜０．００１，９５％ＣＩ　１．０２８～ １．０４８）、ＴｙＧ 指 数 （ＨＲ　２．９４６，９５％ＣＩ　１．５５６～ ３．９１１，Ｐ＜０．００１）仍 是 ＭＡＣＥ 发 生 的 独 立 危 险 因</w:t>
      </w:r>
    </w:p>
    <w:p>
      <w:r>
        <w:drawing>
          <wp:inline distT="0" distB="0" distL="0" distR="0">
            <wp:extent cx="5274310" cy="1515745"/>
            <wp:effectExtent l="0" t="0" r="2540" b="8255"/>
            <wp:docPr id="1319319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1969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或者</w:t>
      </w:r>
      <w:r>
        <w:rPr>
          <w14:ligatures w14:val="standardContextual"/>
        </w:rPr>
        <w:drawing>
          <wp:inline distT="0" distB="0" distL="0" distR="0">
            <wp:extent cx="5274310" cy="3905885"/>
            <wp:effectExtent l="0" t="0" r="2540" b="0"/>
            <wp:docPr id="737103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0343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4..TYG分组与MACE结果之间关系（表3）</w:t>
      </w:r>
    </w:p>
    <w:p>
      <w:r>
        <w:rPr>
          <w14:ligatures w14:val="standardContextual"/>
        </w:rPr>
        <w:drawing>
          <wp:inline distT="0" distB="0" distL="0" distR="0">
            <wp:extent cx="3733800" cy="2235200"/>
            <wp:effectExtent l="0" t="0" r="0" b="0"/>
            <wp:docPr id="412904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0453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14:ligatures w14:val="standardContextual"/>
        </w:rPr>
        <w:drawing>
          <wp:inline distT="0" distB="0" distL="0" distR="0">
            <wp:extent cx="4216400" cy="2565400"/>
            <wp:effectExtent l="0" t="0" r="0" b="0"/>
            <wp:docPr id="1293841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4100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5207635" cy="3684270"/>
            <wp:effectExtent l="0" t="0" r="24765" b="24130"/>
            <wp:docPr id="4" name="图片 4" descr="调整协变量后R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调整协变量后RC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r>
        <w:rPr>
          <w:rFonts w:hint="eastAsia"/>
        </w:rPr>
        <w:t>5.ROC曲线/DCA曲线（表3，图3，图4）</w:t>
      </w:r>
    </w:p>
    <w:p/>
    <w:p>
      <w:pPr>
        <w:rPr>
          <w:rFonts w:hint="eastAsia"/>
        </w:rPr>
      </w:pPr>
      <w:r>
        <w:rPr>
          <w:rFonts w:hint="eastAsia"/>
        </w:rPr>
        <w:t>将 ＴｙＧ 指 数、Ｇｒａｃｅ 评 分 做 ＲＯＣ 曲 线，曲 线 下面积分别 为 ０．７４２，０．８２９，预 测 ＭＡＣＥｓ敏 感 性 分 别 为 ８６．８％、７３．６％，特 异 性 分 别 为 ５１．９％、 ７８．９％，阈值分 别 为 ８．８０６、１６７．５。 二 者 联 合 后 曲 线下面 积 （ＡＵＣ）为 ０．８５６，敏 感 性 为 ７４．５％，特 异 性为８３．５％，均高 于 Ｇｒａｃｅ单 独 预 测 ＭＡＣＥｓ。 采 用 Ｄｅｌｏｎｇ 检 验，发 现 二 者 联 合 后 比 单 独 预 测 ＭＡＣＥｓ事 件 都 更 有 效 （Ｚ＝４．４３７，Ｐ＜０．００１；Ｚ＝ ２．３７８，Ｐ＝０．０１７）。因此，ＴｙＧ 指 数 联 合 Ｇｒａｃｅ评 分后提高了 Ｇｒａｃｅ评分对于 ＡＭＩ患者临床终点的 预测价值 及 Ｇｒａｃｅ评 分 预 测 ＭＡＣＥｓ的 敏 感 性 和 特异性</w:t>
      </w:r>
    </w:p>
    <w:p>
      <w:pPr>
        <w:rPr>
          <w:rFonts w:ascii="Times New Roman" w:hAnsi="Times New Roman" w:eastAsiaTheme="minorEastAsia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bidi="zh-CN"/>
        </w:rPr>
      </w:pPr>
      <w:r>
        <w:drawing>
          <wp:inline distT="0" distB="0" distL="0" distR="0">
            <wp:extent cx="5274310" cy="1384935"/>
            <wp:effectExtent l="0" t="0" r="2540" b="5715"/>
            <wp:docPr id="4944245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2456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</w:rPr>
      </w:pPr>
      <w:r>
        <w:rPr>
          <w:rFonts w:eastAsiaTheme="minorEastAsia"/>
        </w:rPr>
        <w:drawing>
          <wp:inline distT="0" distB="0" distL="0" distR="0">
            <wp:extent cx="5274310" cy="3915410"/>
            <wp:effectExtent l="0" t="0" r="2540" b="8890"/>
            <wp:docPr id="8153254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25479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022143"/>
    <w:multiLevelType w:val="multilevel"/>
    <w:tmpl w:val="410221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49"/>
    <w:rsid w:val="000425FB"/>
    <w:rsid w:val="00131A77"/>
    <w:rsid w:val="001411C5"/>
    <w:rsid w:val="001673E6"/>
    <w:rsid w:val="001F41E6"/>
    <w:rsid w:val="00377520"/>
    <w:rsid w:val="003C16EA"/>
    <w:rsid w:val="003C735E"/>
    <w:rsid w:val="00413115"/>
    <w:rsid w:val="004C1974"/>
    <w:rsid w:val="004D3D6A"/>
    <w:rsid w:val="004F1CA9"/>
    <w:rsid w:val="0050154F"/>
    <w:rsid w:val="00592049"/>
    <w:rsid w:val="005D5EC0"/>
    <w:rsid w:val="00605DBA"/>
    <w:rsid w:val="00613485"/>
    <w:rsid w:val="00624F05"/>
    <w:rsid w:val="006D6DFF"/>
    <w:rsid w:val="00742887"/>
    <w:rsid w:val="00926B4E"/>
    <w:rsid w:val="009A0B75"/>
    <w:rsid w:val="00AA35C4"/>
    <w:rsid w:val="00AB56B7"/>
    <w:rsid w:val="00B72232"/>
    <w:rsid w:val="00C7286E"/>
    <w:rsid w:val="00EA297A"/>
    <w:rsid w:val="00EA7287"/>
    <w:rsid w:val="00ED11BD"/>
    <w:rsid w:val="00EF1E47"/>
    <w:rsid w:val="00F04D71"/>
    <w:rsid w:val="00F45031"/>
    <w:rsid w:val="00F92EC8"/>
    <w:rsid w:val="00FB582C"/>
    <w:rsid w:val="457EDEA4"/>
    <w:rsid w:val="57DD4A1B"/>
    <w:rsid w:val="5FAFBC99"/>
    <w:rsid w:val="7CFF2C64"/>
    <w:rsid w:val="7FDF45A5"/>
    <w:rsid w:val="B1B3D1B4"/>
    <w:rsid w:val="BBFB0F1E"/>
    <w:rsid w:val="CBFD6F46"/>
    <w:rsid w:val="CCFFC149"/>
    <w:rsid w:val="DFFF570F"/>
    <w:rsid w:val="F76FD836"/>
    <w:rsid w:val="FFB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三线表新"/>
    <w:basedOn w:val="4"/>
    <w:qFormat/>
    <w:uiPriority w:val="99"/>
    <w:rPr>
      <w:rFonts w:eastAsia="Times New Roman"/>
    </w:rPr>
    <w:tblPr>
      <w:tblBorders>
        <w:top w:val="single" w:color="auto" w:sz="12" w:space="0"/>
        <w:bottom w:val="single" w:color="auto" w:sz="12" w:space="0"/>
      </w:tblBorders>
    </w:tblPr>
    <w:tblStylePr w:type="firstRow">
      <w:pPr>
        <w:wordWrap/>
        <w:spacing w:line="360" w:lineRule="exact"/>
        <w:jc w:val="center"/>
      </w:pPr>
      <w:rPr>
        <w:rFonts w:ascii="ti" w:hAnsi="ti" w:eastAsia="宋体"/>
        <w:b w:val="0"/>
        <w:i w:val="0"/>
        <w:sz w:val="21"/>
      </w:rPr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7">
    <w:name w:val="页眉 字符"/>
    <w:basedOn w:val="5"/>
    <w:link w:val="3"/>
    <w:qFormat/>
    <w:uiPriority w:val="99"/>
    <w:rPr>
      <w:rFonts w:ascii="等线" w:hAnsi="等线" w:eastAsia="等线" w:cs="Times New Roman"/>
      <w:sz w:val="18"/>
      <w:szCs w:val="18"/>
      <w14:ligatures w14:val="none"/>
    </w:rPr>
  </w:style>
  <w:style w:type="character" w:customStyle="1" w:styleId="8">
    <w:name w:val="页脚 字符"/>
    <w:basedOn w:val="5"/>
    <w:link w:val="2"/>
    <w:qFormat/>
    <w:uiPriority w:val="99"/>
    <w:rPr>
      <w:rFonts w:ascii="等线" w:hAnsi="等线" w:eastAsia="等线" w:cs="Times New Roman"/>
      <w:sz w:val="18"/>
      <w:szCs w:val="18"/>
      <w14:ligatures w14:val="non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424</Words>
  <Characters>2422</Characters>
  <Lines>20</Lines>
  <Paragraphs>5</Paragraphs>
  <TotalTime>0</TotalTime>
  <ScaleCrop>false</ScaleCrop>
  <LinksUpToDate>false</LinksUpToDate>
  <CharactersWithSpaces>2841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2024-08-31T20:17:00Z</dcterms:created>
  <dc:creator>jiana 郭</dc:creator>
  <cp:lastModifiedBy>小老白。</cp:lastModifiedBy>
  <dcterms:modified xsi:type="dcterms:W3CDTF">2024-09-01T22:26:28Z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D26277C38DE224ECB856D466F30C4C9F_42</vt:lpwstr>
  </property>
</Properties>
</file>