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系统工程文档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可行性分析报告</w:t>
      </w:r>
    </w:p>
    <w:p>
      <w:pPr>
        <w:spacing w:after="1080"/>
        <w:jc w:val="center"/>
      </w:pPr>
      <w:r>
        <w:rPr>
          <w:rFonts w:ascii="Calibri" w:hAnsi="Calibri" w:eastAsia="Microsoft YaHei"/>
          <w:color w:val="595959"/>
          <w:sz w:val="28"/>
        </w:rPr>
        <w:t>经济、操作、技术与运行可行性评估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Star Rail Agents（星穹智库）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文档编号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SRA-FEA-001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 / 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V1.0 / 2026-07-29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项目评审、开发、测试与运维人员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编制依据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当前仓库源码、配置、数据库迁移与 FastAPI OpenAPI 定义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评估结论：</w:t>
            </w:r>
            <w:r>
              <w:rPr>
                <w:rFonts w:ascii="Calibri" w:hAnsi="Calibri" w:eastAsia="Microsoft YaHei"/>
              </w:rPr>
              <w:t>基于当前已实现原型与开源技术栈，项目具备毕业设计/教学演示和小规模试运行可行性。若转为公网生产服务，应补充真实并发压测、云资源报价、内容合规流程和灾备演练后再作投产决策。</w:t>
            </w:r>
          </w:p>
        </w:tc>
      </w:tr>
    </w:tbl>
    <w:p>
      <w:pPr>
        <w:spacing w:after="0"/>
      </w:pPr>
    </w:p>
    <w:p>
      <w:pPr>
        <w:pStyle w:val="Heading1"/>
      </w:pPr>
      <w:r>
        <w:t>1. 项目概述</w:t>
      </w:r>
    </w:p>
    <w:p>
      <w:r>
        <w:rPr>
          <w:rFonts w:ascii="Calibri" w:hAnsi="Calibri" w:eastAsia="Microsoft YaHei"/>
        </w:rPr>
        <w:t>本项目面向《崩坏：星穹铁道》玩家，提供官方资料检索、带引用的智能问答、角色养成计算、配队推荐、每周规划、会话与长期记忆、自定义角色创作及社区审核等能力。系统采用 Vue 3 前端、FastAPI 后端、PostgreSQL 业务库、Milvus 向量库、BGE 嵌入与重排服务以及可配置的大模型提供商。</w:t>
      </w:r>
    </w:p>
    <w:p>
      <w:pPr>
        <w:pStyle w:val="Heading1"/>
      </w:pPr>
      <w:r>
        <w:t>2. 评估边界与假设</w:t>
      </w:r>
    </w:p>
    <w:p>
      <w:pPr>
        <w:pStyle w:val="ListBullet"/>
      </w:pPr>
      <w:r>
        <w:rPr>
          <w:rFonts w:ascii="Calibri" w:hAnsi="Calibri" w:eastAsia="Microsoft YaHei"/>
        </w:rPr>
        <w:t>结论基于 2026-07-29 仓库中的源码、Docker Compose、Alembic 迁移和测试结构。</w:t>
      </w:r>
    </w:p>
    <w:p>
      <w:pPr>
        <w:pStyle w:val="ListBullet"/>
      </w:pPr>
      <w:r>
        <w:rPr>
          <w:rFonts w:ascii="Calibri" w:hAnsi="Calibri" w:eastAsia="Microsoft YaHei"/>
        </w:rPr>
        <w:t>经济数据采用成本类别和估算口径，不代表已经发生的采购或云服务账单。</w:t>
      </w:r>
    </w:p>
    <w:p>
      <w:pPr>
        <w:pStyle w:val="ListBullet"/>
      </w:pPr>
      <w:r>
        <w:rPr>
          <w:rFonts w:ascii="Calibri" w:hAnsi="Calibri" w:eastAsia="Microsoft YaHei"/>
        </w:rPr>
        <w:t>性能与可用性数字属于建议验收目标；未见正式压测报告的项目，不应表述为已达标。</w:t>
      </w:r>
    </w:p>
    <w:p>
      <w:pPr>
        <w:pStyle w:val="ListBullet"/>
      </w:pPr>
      <w:r>
        <w:rPr>
          <w:rFonts w:ascii="Calibri" w:hAnsi="Calibri" w:eastAsia="Microsoft YaHei"/>
        </w:rPr>
        <w:t>游戏内容及商标权利归相关权利人所有；面向公众运营时需另行完成授权、版权与平台条款审查。</w:t>
      </w:r>
    </w:p>
    <w:p>
      <w:pPr>
        <w:pStyle w:val="Heading1"/>
      </w:pPr>
      <w:r>
        <w:t>3. 经济可行性</w:t>
      </w:r>
    </w:p>
    <w:p>
      <w:r>
        <w:rPr>
          <w:rFonts w:ascii="Calibri" w:hAnsi="Calibri" w:eastAsia="Microsoft YaHei"/>
        </w:rPr>
        <w:t>核心框架与基础设施均可使用开源版本，软件许可成本低。主要可变成本来自计算资源、大模型 API 调用、GPU 推理、存储备份、域名与运维时间。教学演示可复用开发机并使用 mock 模型或本地模型，显著降低现金支出；生产环境则需按日活、对话量、向量规模和响应时延估算。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500"/>
        <w:gridCol w:w="2500"/>
        <w:gridCol w:w="271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成本项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原型/教学阶段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生产阶段主要变量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控制措施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软件许可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Vue、FastAPI、PostgreSQL、Milvus 等可零许可费使用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需核对各依赖及模型许可证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建立依赖清单与许可证审计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计算资源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可使用现有开发机；GPU 可选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CPU/GPU 规格、并发、运行时长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模型服务独立伸缩，支持 CPU 降级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大模型调用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mock 模式可不产生外部调用费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请求量、上下文长度、模型单价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路由分级、缓存、限额与成本监控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存储与备份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本地命名卷即可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用户数据、向量索引、图片与保留周期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冷热分层、定期备份和生命周期策略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人员投入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以课程/毕业设计工时为主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研发、内容维护、审核、值守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自动化测试、迁移与审核工作台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建议的预算测算公式：月度总成本 = 基础主机与数据库 + GPU/模型服务 + LLM 调用量 × 单价 + 对象存储与流量 + 备份 + 运维人力。上线前至少以低、中、高三档业务量报价，并设置单用户和全局调用上限。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经济性判断：</w:t>
            </w:r>
            <w:r>
              <w:rPr>
                <w:rFonts w:ascii="Calibri" w:hAnsi="Calibri" w:eastAsia="Microsoft YaHei"/>
              </w:rPr>
              <w:t>原型和小规模试运行经济可行；公开生产运营为“有条件可行”，需结合真实流量完成报价与预算审批。</w:t>
            </w:r>
          </w:p>
        </w:tc>
      </w:tr>
    </w:tbl>
    <w:p>
      <w:pPr>
        <w:spacing w:after="0"/>
      </w:pPr>
    </w:p>
    <w:p>
      <w:pPr>
        <w:pStyle w:val="Heading1"/>
      </w:pPr>
      <w:r>
        <w:t>4. 操作可行性</w:t>
      </w:r>
    </w:p>
    <w:p>
      <w:r>
        <w:rPr>
          <w:rFonts w:ascii="Calibri" w:hAnsi="Calibri" w:eastAsia="Microsoft YaHei"/>
        </w:rPr>
        <w:t>玩家通过网页完成登录、资料浏览、智能问答、角色池登记、养成与队伍管理；管理员通过审核页面处理自定义角色和活动攻略。交互路径与既有游戏工具使用习惯相近，学习成本可控。敏感写操作由用户显式触发，智能体不会自动写入长期记忆或公开玩家内容，降低误操作风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800"/>
        <w:gridCol w:w="1900"/>
        <w:gridCol w:w="336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典型任务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操作条件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可行性要点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游客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浏览公开目录、活动、剧情与社区内容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浏览器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无需安装客户端；入口清晰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注册用户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对话、角色池、记忆、队伍、养成计划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登录并持有 JWT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状态可保存；资源按用户隔离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创作者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四阶段角色创作、提交审核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注册用户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草稿、版本、审核状态分离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管理员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审核、下架、恢复公开内容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管理员账号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权限校验和操作记录降低治理风险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</w:rPr>
        <w:t>建议补充首次使用引导、空状态说明和危险操作二次确认。</w:t>
      </w:r>
    </w:p>
    <w:p>
      <w:pPr>
        <w:pStyle w:val="ListBullet"/>
      </w:pPr>
      <w:r>
        <w:rPr>
          <w:rFonts w:ascii="Calibri" w:hAnsi="Calibri" w:eastAsia="Microsoft YaHei"/>
        </w:rPr>
        <w:t>建议按 WCAG 2.1 AA 检查键盘可达性、对比度、焦点顺序和错误提示。</w:t>
      </w:r>
    </w:p>
    <w:p>
      <w:pPr>
        <w:pStyle w:val="ListBullet"/>
      </w:pPr>
      <w:r>
        <w:rPr>
          <w:rFonts w:ascii="Calibri" w:hAnsi="Calibri" w:eastAsia="Microsoft YaHei"/>
        </w:rPr>
        <w:t>管理员需配置审核准则、申诉处理和违规内容留痕制度。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操作性判断：</w:t>
            </w:r>
            <w:r>
              <w:rPr>
                <w:rFonts w:ascii="Calibri" w:hAnsi="Calibri" w:eastAsia="Microsoft YaHei"/>
              </w:rPr>
              <w:t>现有角色与流程明确，操作可行；无障碍和新手引导应作为上线前验收项。</w:t>
            </w:r>
          </w:p>
        </w:tc>
      </w:tr>
    </w:tbl>
    <w:p>
      <w:pPr>
        <w:spacing w:after="0"/>
      </w:pPr>
    </w:p>
    <w:p>
      <w:pPr>
        <w:pStyle w:val="Heading1"/>
      </w:pPr>
      <w:r>
        <w:t>5. 技术可行性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400"/>
        <w:gridCol w:w="2500"/>
        <w:gridCol w:w="316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技术域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现有实现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可行性依据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主要风险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前端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Vue 3、TypeScript、Vite、Pinia、Vue Router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生态成熟，组件化与类型检查完善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复杂页面状态和移动端适配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后端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FastAPI、Pydantic、SQLAlchemy、Alembic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自动 OpenAPI、校验与迁移能力完整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同步数据库访问在高并发下需评估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检索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Milvus、BGE-M3、Reranker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适合语义检索与重排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模型显存、索引质量和冷启动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智能体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Router + 专业 Agent + 统一证据协议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语义任务与确定性计算分离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外部模型波动、幻觉与成本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部署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Docker Compose、健康检查、命名卷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环境可复制，服务依赖明确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单机编排不等同高可用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pytest、ruff、前端 type-check/build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已有单元与集成测试基础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缺少正式压测和端到端浏览器回归证据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技术上不存在必须依赖自研基础设施的阻断项。官方资料与用户创作采用独立数据路径，RAG 回答经过Claim-Citation-Validation-Filtering 协议过滤；配队、养成和每周规划优先使用确定性计算，能够降低数值幻觉。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技术性判断：</w:t>
            </w:r>
            <w:r>
              <w:rPr>
                <w:rFonts w:ascii="Calibri" w:hAnsi="Calibri" w:eastAsia="Microsoft YaHei"/>
              </w:rPr>
              <w:t>技术路线成熟且实现基础充分，技术可行；生产化重点是压测、限流、缓存、可观测性和模型服务降级。</w:t>
            </w:r>
          </w:p>
        </w:tc>
      </w:tr>
    </w:tbl>
    <w:p>
      <w:pPr>
        <w:spacing w:after="0"/>
      </w:pPr>
    </w:p>
    <w:p>
      <w:pPr>
        <w:pStyle w:val="Heading1"/>
      </w:pPr>
      <w:r>
        <w:t>6. 运行可行性</w:t>
      </w:r>
    </w:p>
    <w:p>
      <w:r>
        <w:rPr>
          <w:rFonts w:ascii="Calibri" w:hAnsi="Calibri" w:eastAsia="Microsoft YaHei"/>
        </w:rPr>
        <w:t>Docker Compose 已编排 PostgreSQL、etcd、MinIO、Milvus、BGE 模型服务、后端与前端，并为核心服务配置健康检查和自动重启。后端启动前执行 Alembic 迁移，空库能够迁移到当前版本。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400"/>
        <w:gridCol w:w="43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运行要素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当前机制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上线前补强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启动与恢复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depends_on 健康条件、restart unless-stopped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增加启动超时告警和故障演练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数据持久化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PostgreSQL/Milvus/MinIO/etcd 命名卷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异机备份、恢复演练、RPO/RTO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配置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.env 与容器环境变量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密钥管理服务、配置分环境、禁止默认密码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监控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HTTP 健康检查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日志聚合、指标、追踪、模型耗时和成本看板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伸缩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服务职责已拆分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生产使用编排平台或托管服务实现副本与滚动升级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运行性判断：</w:t>
            </w:r>
            <w:r>
              <w:rPr>
                <w:rFonts w:ascii="Calibri" w:hAnsi="Calibri" w:eastAsia="Microsoft YaHei"/>
              </w:rPr>
              <w:t>本地与单机试运行可行；生产高可用运行属于“有条件可行”，须建立备份、监控、容量和应急体系。</w:t>
            </w:r>
          </w:p>
        </w:tc>
      </w:tr>
    </w:tbl>
    <w:p>
      <w:pPr>
        <w:spacing w:after="0"/>
      </w:pPr>
    </w:p>
    <w:p>
      <w:pPr>
        <w:pStyle w:val="Heading1"/>
      </w:pPr>
      <w:r>
        <w:t>7. 风险与对策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850"/>
        <w:gridCol w:w="850"/>
        <w:gridCol w:w="3600"/>
        <w:gridCol w:w="166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概率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对策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责任域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 API 不可用或响应变慢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超时、重试、熔断、mock/规则降级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后端/运维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BGE 模型或 GPU 资源不足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CPU 模式、延迟加载、批量参数与容量监控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模型服务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知识过期或引用不一致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来源登记、数据审计、版本化重建索引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数据治理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用户内容违规或侵权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审核、下架、操作留痕、申诉与规则公示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运营/管理员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默认密钥或密码进入生产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低中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启动校验、密钥轮换、CI 秘密扫描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安全/运维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单机故障导致中断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备份、恢复演练、托管数据库与多副本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运维</w:t>
            </w:r>
          </w:p>
        </w:tc>
      </w:tr>
    </w:tbl>
    <w:p>
      <w:pPr>
        <w:spacing w:after="0"/>
      </w:pPr>
    </w:p>
    <w:p>
      <w:pPr>
        <w:pStyle w:val="Heading1"/>
      </w:pPr>
      <w:r>
        <w:t>8. 综合结论与准入条件</w:t>
      </w:r>
    </w:p>
    <w:p>
      <w:r>
        <w:rPr>
          <w:rFonts w:ascii="Calibri" w:hAnsi="Calibri" w:eastAsia="Microsoft YaHei"/>
        </w:rPr>
        <w:t>项目在经济、操作和技术层面总体可行，在本地及小规模环境具备运行可行性。建议按以下门槛决定是否公开上线：</w:t>
      </w:r>
    </w:p>
    <w:p>
      <w:pPr>
        <w:pStyle w:val="ListNumber"/>
      </w:pPr>
      <w:r>
        <w:rPr>
          <w:rFonts w:ascii="Calibri" w:hAnsi="Calibri" w:eastAsia="Microsoft YaHei"/>
        </w:rPr>
        <w:t>完成目标并发下的接口压测、模型服务容量测试和关键页面端到端回归。</w:t>
      </w:r>
    </w:p>
    <w:p>
      <w:pPr>
        <w:pStyle w:val="ListNumber"/>
      </w:pPr>
      <w:r>
        <w:rPr>
          <w:rFonts w:ascii="Calibri" w:hAnsi="Calibri" w:eastAsia="Microsoft YaHei"/>
        </w:rPr>
        <w:t>替换所有默认密码与开发 JWT 密钥，落实限流、审计日志和敏感配置管理。</w:t>
      </w:r>
    </w:p>
    <w:p>
      <w:pPr>
        <w:pStyle w:val="ListNumber"/>
      </w:pPr>
      <w:r>
        <w:rPr>
          <w:rFonts w:ascii="Calibri" w:hAnsi="Calibri" w:eastAsia="Microsoft YaHei"/>
        </w:rPr>
        <w:t>建立 PostgreSQL 与 Milvus 的备份、恢复验证及明确的 RPO/RTO。</w:t>
      </w:r>
    </w:p>
    <w:p>
      <w:pPr>
        <w:pStyle w:val="ListNumber"/>
      </w:pPr>
      <w:r>
        <w:rPr>
          <w:rFonts w:ascii="Calibri" w:hAnsi="Calibri" w:eastAsia="Microsoft YaHei"/>
        </w:rPr>
        <w:t>完成内容来源、模型许可证、游戏素材使用和社区审核规则审查。</w:t>
      </w:r>
    </w:p>
    <w:p>
      <w:pPr>
        <w:pStyle w:val="ListNumber"/>
      </w:pPr>
      <w:r>
        <w:rPr>
          <w:rFonts w:ascii="Calibri" w:hAnsi="Calibri" w:eastAsia="Microsoft YaHei"/>
        </w:rPr>
        <w:t>按预估流量核算云资源及 LLM 月度成本，设定预算告警和降级开关。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 xml:space="preserve">V1.0  ·  2026-07-29  ·  第 </w:t>
    </w:r>
    <w:r>
      <w:rPr>
        <w:rFonts w:ascii="Calibri" w:hAnsi="Calibri" w:eastAsia="Microsoft YaHe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7"/>
      </w:rPr>
      <w:t>Star Rail Agents（星穹智库）  |  可行性分析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01_可行性分析报告</dc:title>
  <dc:subject>Star Rail Agents（星穹智库）</dc:subject>
  <dc:creator>Star Rail Agents 项目组</dc:creator>
  <cp:keywords>可行性,需求,设计,接口,数据库,FastAPI,Vue,PostgreSQL,Milvus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