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 w:after="320"/>
        <w:jc w:val="center"/>
      </w:pPr>
      <w:r>
        <w:rPr>
          <w:rFonts w:ascii="Calibri" w:hAnsi="Calibri" w:eastAsia="Microsoft YaHei"/>
          <w:b/>
          <w:color w:val="2E74B5"/>
          <w:sz w:val="22"/>
        </w:rPr>
        <w:t>系统工程文档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color w:val="1F4D78"/>
          <w:sz w:val="56"/>
        </w:rPr>
        <w:t>需求分析报告</w:t>
      </w:r>
    </w:p>
    <w:p>
      <w:pPr>
        <w:spacing w:after="1080"/>
        <w:jc w:val="center"/>
      </w:pPr>
      <w:r>
        <w:rPr>
          <w:rFonts w:ascii="Calibri" w:hAnsi="Calibri" w:eastAsia="Microsoft YaHei"/>
          <w:color w:val="595959"/>
          <w:sz w:val="28"/>
        </w:rPr>
        <w:t>功能需求、非功能需求与验收基线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AF2F8"/>
          </w:tcPr>
          <w:p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项目名称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000000"/>
                <w:sz w:val="20"/>
              </w:rPr>
              <w:t>Star Rail Agents（星穹智库）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AF2F8"/>
          </w:tcPr>
          <w:p>
            <w:r>
              <w:rPr>
                <w:rFonts w:ascii="Calibri" w:hAnsi="Calibri" w:eastAsia="Microsoft YaHei"/>
                <w:b/>
                <w:color w:val="1F4D78"/>
                <w:sz w:val="20"/>
              </w:rPr>
              <w:t>文档编号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000000"/>
                <w:sz w:val="20"/>
              </w:rPr>
              <w:t>SRA-REQ-001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AF2F8"/>
          </w:tcPr>
          <w:p>
            <w:r>
              <w:rPr>
                <w:rFonts w:ascii="Calibri" w:hAnsi="Calibri" w:eastAsia="Microsoft YaHei"/>
                <w:b/>
                <w:color w:val="1F4D78"/>
                <w:sz w:val="20"/>
              </w:rPr>
              <w:t>版本 / 日期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000000"/>
                <w:sz w:val="20"/>
              </w:rPr>
              <w:t>V1.0 / 2026-07-29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AF2F8"/>
          </w:tcPr>
          <w:p>
            <w:r>
              <w:rPr>
                <w:rFonts w:ascii="Calibri" w:hAnsi="Calibri" w:eastAsia="Microsoft YaHei"/>
                <w:b/>
                <w:color w:val="1F4D78"/>
                <w:sz w:val="20"/>
              </w:rPr>
              <w:t>适用对象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000000"/>
                <w:sz w:val="20"/>
              </w:rPr>
              <w:t>项目评审、开发、测试与运维人员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AF2F8"/>
          </w:tcPr>
          <w:p>
            <w:r>
              <w:rPr>
                <w:rFonts w:ascii="Calibri" w:hAnsi="Calibri" w:eastAsia="Microsoft YaHei"/>
                <w:b/>
                <w:color w:val="1F4D78"/>
                <w:sz w:val="20"/>
              </w:rPr>
              <w:t>编制依据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000000"/>
                <w:sz w:val="20"/>
              </w:rPr>
              <w:t>当前仓库源码、配置、数据库迁移与 FastAPI OpenAPI 定义</w:t>
            </w:r>
          </w:p>
        </w:tc>
      </w:tr>
    </w:tbl>
    <w:p>
      <w:r>
        <w:br w:type="page"/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</w:rPr>
              <w:t>文档用途：</w:t>
            </w:r>
            <w:r>
              <w:rPr>
                <w:rFonts w:ascii="Calibri" w:hAnsi="Calibri" w:eastAsia="Microsoft YaHei"/>
              </w:rPr>
              <w:t>定义系统当前实现所覆盖的业务边界，并将关键能力转化为可追踪、可测试的需求项。标注为“目标”的非功能指标需通过专项测试后方可判定达成。</w:t>
            </w:r>
          </w:p>
        </w:tc>
      </w:tr>
    </w:tbl>
    <w:p>
      <w:pPr>
        <w:spacing w:after="0"/>
      </w:pPr>
    </w:p>
    <w:p>
      <w:pPr>
        <w:pStyle w:val="Heading1"/>
      </w:pPr>
      <w:r>
        <w:t>1. 背景与目标</w:t>
      </w:r>
    </w:p>
    <w:p>
      <w:r>
        <w:rPr>
          <w:rFonts w:ascii="Calibri" w:hAnsi="Calibri" w:eastAsia="Microsoft YaHei"/>
        </w:rPr>
        <w:t>玩家资料分散、数值养成计算繁琐、攻略质量不一，通用大模型又容易给出无来源结论。系统目标是将结构化资料、语义检索、确定性计算与多智能体路由整合为统一网页应用，让玩家获得可引用、可校验、可持续保存的辅助结果。</w:t>
      </w:r>
    </w:p>
    <w:p>
      <w:pPr>
        <w:pStyle w:val="Heading1"/>
      </w:pPr>
      <w:r>
        <w:t>2. 范围</w:t>
      </w:r>
    </w:p>
    <w:p>
      <w:pPr>
        <w:pStyle w:val="Heading2"/>
      </w:pPr>
      <w:r>
        <w:t>2.1 范围内</w:t>
      </w:r>
    </w:p>
    <w:p>
      <w:pPr>
        <w:pStyle w:val="ListBullet"/>
      </w:pPr>
      <w:r>
        <w:rPr>
          <w:rFonts w:ascii="Calibri" w:hAnsi="Calibri" w:eastAsia="Microsoft YaHei"/>
        </w:rPr>
        <w:t>账号注册、登录、当前用户识别与管理员授权。</w:t>
      </w:r>
    </w:p>
    <w:p>
      <w:pPr>
        <w:pStyle w:val="ListBullet"/>
      </w:pPr>
      <w:r>
        <w:rPr>
          <w:rFonts w:ascii="Calibri" w:hAnsi="Calibri" w:eastAsia="Microsoft YaHei"/>
        </w:rPr>
        <w:t>角色、光锥、遗器、物品、怪物、活动和剧情资料浏览。</w:t>
      </w:r>
    </w:p>
    <w:p>
      <w:pPr>
        <w:pStyle w:val="ListBullet"/>
      </w:pPr>
      <w:r>
        <w:rPr>
          <w:rFonts w:ascii="Calibri" w:hAnsi="Calibri" w:eastAsia="Microsoft YaHei"/>
        </w:rPr>
        <w:t>智能问答、会话历史、异步聊天任务、长期记忆确认与维护。</w:t>
      </w:r>
    </w:p>
    <w:p>
      <w:pPr>
        <w:pStyle w:val="ListBullet"/>
      </w:pPr>
      <w:r>
        <w:rPr>
          <w:rFonts w:ascii="Calibri" w:hAnsi="Calibri" w:eastAsia="Microsoft YaHei"/>
        </w:rPr>
        <w:t>角色池、练度、配队、养成方案和每周体力规划。</w:t>
      </w:r>
    </w:p>
    <w:p>
      <w:pPr>
        <w:pStyle w:val="ListBullet"/>
      </w:pPr>
      <w:r>
        <w:rPr>
          <w:rFonts w:ascii="Calibri" w:hAnsi="Calibri" w:eastAsia="Microsoft YaHei"/>
        </w:rPr>
        <w:t>自定义角色创作、版本化、社区发布、审核与内容治理。</w:t>
      </w:r>
    </w:p>
    <w:p>
      <w:pPr>
        <w:pStyle w:val="ListBullet"/>
      </w:pPr>
      <w:r>
        <w:rPr>
          <w:rFonts w:ascii="Calibri" w:hAnsi="Calibri" w:eastAsia="Microsoft YaHei"/>
        </w:rPr>
        <w:t>Docker 化部署、数据库迁移、健康检查和 OpenAPI 文档。</w:t>
      </w:r>
    </w:p>
    <w:p>
      <w:pPr>
        <w:pStyle w:val="Heading2"/>
      </w:pPr>
      <w:r>
        <w:t>2.2 范围外</w:t>
      </w:r>
    </w:p>
    <w:p>
      <w:pPr>
        <w:pStyle w:val="ListBullet"/>
      </w:pPr>
      <w:r>
        <w:rPr>
          <w:rFonts w:ascii="Calibri" w:hAnsi="Calibri" w:eastAsia="Microsoft YaHei"/>
        </w:rPr>
        <w:t>与游戏客户端账号、抽卡记录或实时战斗数据的官方直连。</w:t>
      </w:r>
    </w:p>
    <w:p>
      <w:pPr>
        <w:pStyle w:val="ListBullet"/>
      </w:pPr>
      <w:r>
        <w:rPr>
          <w:rFonts w:ascii="Calibri" w:hAnsi="Calibri" w:eastAsia="Microsoft YaHei"/>
        </w:rPr>
        <w:t>自动代替玩家执行游戏操作或修改游戏数据。</w:t>
      </w:r>
    </w:p>
    <w:p>
      <w:pPr>
        <w:pStyle w:val="ListBullet"/>
      </w:pPr>
      <w:r>
        <w:rPr>
          <w:rFonts w:ascii="Calibri" w:hAnsi="Calibri" w:eastAsia="Microsoft YaHei"/>
        </w:rPr>
        <w:t>面向大规模公网生产环境的多地域高可用保证。</w:t>
      </w:r>
    </w:p>
    <w:p>
      <w:pPr>
        <w:pStyle w:val="ListBullet"/>
      </w:pPr>
      <w:r>
        <w:rPr>
          <w:rFonts w:ascii="Calibri" w:hAnsi="Calibri" w:eastAsia="Microsoft YaHei"/>
        </w:rPr>
        <w:t>对外部模型、游戏版本更新和第三方内容持续可用性的绝对保证。</w:t>
      </w:r>
    </w:p>
    <w:p>
      <w:pPr>
        <w:pStyle w:val="Heading1"/>
      </w:pPr>
      <w:r>
        <w:t>3. 用户角色与权限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250"/>
        <w:gridCol w:w="1750"/>
        <w:gridCol w:w="3600"/>
        <w:gridCol w:w="2760"/>
      </w:tblGrid>
      <w:tr>
        <w:trPr>
          <w:tblHeader w:val="true"/>
        </w:trPr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角色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身份条件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核心权限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限制</w:t>
            </w:r>
          </w:p>
        </w:tc>
      </w:tr>
      <w:tr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游客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未登录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浏览公开资料、公开活动/剧情/社区内容，匿名问答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不能保存用户数据或提交内容</w:t>
            </w:r>
          </w:p>
        </w:tc>
      </w:tr>
      <w:tr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注册用户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有效 JWT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管理本人角色池、记忆、队伍、计划、会话和创作草稿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只能访问本人私有资源</w:t>
            </w:r>
          </w:p>
        </w:tc>
      </w:tr>
      <w:tr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创作者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注册用户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提交自定义角色或活动攻略供审核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提交不等于立即公开</w:t>
            </w:r>
          </w:p>
        </w:tc>
      </w:tr>
      <w:tr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管理员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用户名位于管理员配置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审核、驳回、下架、恢复社区内容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操作需鉴权并建议留痕</w:t>
            </w:r>
          </w:p>
        </w:tc>
      </w:tr>
      <w:tr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外部模型服务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后端受控调用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完成语义路由、生成或嵌入/重排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不得直接写入用户业务数据</w:t>
            </w:r>
          </w:p>
        </w:tc>
      </w:tr>
    </w:tbl>
    <w:p>
      <w:pPr>
        <w:spacing w:after="0"/>
      </w:pPr>
    </w:p>
    <w:p>
      <w:pPr>
        <w:pStyle w:val="Heading1"/>
      </w:pPr>
      <w:r>
        <w:t>4. 功能需求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250"/>
        <w:gridCol w:w="1450"/>
        <w:gridCol w:w="3600"/>
        <w:gridCol w:w="3060"/>
      </w:tblGrid>
      <w:tr>
        <w:trPr>
          <w:tblHeader w:val="true"/>
        </w:trPr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编号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名称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需求描述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验收要点</w:t>
            </w:r>
          </w:p>
        </w:tc>
      </w:tr>
      <w:tr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FR-AUTH-01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账号注册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游客提交用户名、邮箱、显示名和密码，系统校验唯一性并创建账号。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合法输入返回 201 和访问令牌；冲突返回 409；非法输入返回 422。</w:t>
            </w:r>
          </w:p>
        </w:tc>
      </w:tr>
      <w:tr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FR-AUTH-02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账号登录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用户可用账号标识与密码登录。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认证成功返回 Bearer JWT 和用户信息；失败不泄露密码细节。</w:t>
            </w:r>
          </w:p>
        </w:tc>
      </w:tr>
      <w:tr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FR-AUTH-03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身份与授权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后端从 Bearer 令牌识别当前用户，并限制私有资源和管理员接口。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未认证返回 401；越权返回 403/404。</w:t>
            </w:r>
          </w:p>
        </w:tc>
      </w:tr>
      <w:tr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FR-CAT-01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官方目录浏览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用户可查看角色列表与详情，以及物品、光锥、遗器和怪物等知识实体。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列表和详情均可访问；不存在资源返回 404。</w:t>
            </w:r>
          </w:p>
        </w:tc>
      </w:tr>
      <w:tr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FR-STORY-01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剧情检索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用户可按关键词、版本、世界、任务类型、系列和角色筛选剧情并查看场景。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响应含总数、筛选项和详情；场景定位使用 mission_id/chunk_id。</w:t>
            </w:r>
          </w:p>
        </w:tc>
      </w:tr>
      <w:tr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FR-ACT-01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活动资料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用户可浏览活动、详情和已发布玩家攻略。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公开接口不返回未通过审核的内容。</w:t>
            </w:r>
          </w:p>
        </w:tc>
      </w:tr>
      <w:tr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FR-CHAT-01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智能问答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用户提交消息和可选会话上下文，系统路由到专业 Agent 并返回统一 AI 响应。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结果包含 answer、agent、协议、引用/校验/过滤信息和可选记忆建议。</w:t>
            </w:r>
          </w:p>
        </w:tc>
      </w:tr>
      <w:tr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FR-CHAT-02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会话持久化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登录用户可查看会话、恢复消息并删除本人会话。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资源按 user_id 隔离；删除级联清理消息。</w:t>
            </w:r>
          </w:p>
        </w:tc>
      </w:tr>
      <w:tr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FR-CHAT-03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异步聊天任务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用户可创建、查询和重试长耗时聊天任务。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状态至少覆盖 queued/running/succeeded/failed；重启后可恢复未完成任务。</w:t>
            </w:r>
          </w:p>
        </w:tc>
      </w:tr>
      <w:tr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FR-MEM-01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长期记忆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系统只生成候选记忆，用户确认后方可创建；用户可查看、编辑、停用或删除。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模型输出本身不得直接写库；所有记录属于当前用户。</w:t>
            </w:r>
          </w:p>
        </w:tc>
      </w:tr>
      <w:tr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FR-PROFILE-01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角色池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用户可批量替换持有角色并标记喜爱角色。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输入角色 ID 去重且必须存在；返回最新角色池。</w:t>
            </w:r>
          </w:p>
        </w:tc>
      </w:tr>
      <w:tr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FR-PROG-01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单角色养成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用户可查看角色养成结构、计算等级与技能材料并保存练度。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等级和技能区间通过校验；仅可保存已持有角色。</w:t>
            </w:r>
          </w:p>
        </w:tc>
      </w:tr>
      <w:tr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FR-PROG-02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多角色养成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系统合并多个角色的材料需求并生成优先级建议。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重复角色和非法区间返回 422；结果含汇总与证据版本。</w:t>
            </w:r>
          </w:p>
        </w:tc>
      </w:tr>
      <w:tr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FR-PLAN-01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养成方案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用户可新增、查看、修改优先级/状态和删除养成方案。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只操作本人方案；快照保留计算时输入与结果。</w:t>
            </w:r>
          </w:p>
        </w:tc>
      </w:tr>
      <w:tr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FR-WEEK-01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每周规划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系统按启用方案、体力预算和周本剩余次数生成当前自然周任务。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任务可勾选完成；生成结果记录证据版本和体力分配。</w:t>
            </w:r>
          </w:p>
        </w:tc>
      </w:tr>
      <w:tr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FR-TEAM-01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官方配队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用户按核心角色、喜爱/排除角色、持有角色约束和生存位要求生成两套队伍。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成员不重复并说明推荐依据；可区分理论队与可用队。</w:t>
            </w:r>
          </w:p>
        </w:tc>
      </w:tr>
      <w:tr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FR-TEAM-02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常用队伍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登录用户可保存、查看、改名和删除四人队伍。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队伍成员合法且位置唯一；按用户隔离。</w:t>
            </w:r>
          </w:p>
        </w:tc>
      </w:tr>
      <w:tr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FR-CC-01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自定义角色创作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用户创建草稿并通过分阶段会话完善结构化字段。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会话可恢复；确认阶段后推进；草稿与发布版本分离。</w:t>
            </w:r>
          </w:p>
        </w:tc>
      </w:tr>
      <w:tr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FR-CC-02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创作辅助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系统可从对话抽取字段、生成头像提示或推荐自定义配队。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无外部模型时仍允许固定提问和表单方式完成核心流程。</w:t>
            </w:r>
          </w:p>
        </w:tc>
      </w:tr>
      <w:tr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FR-COM-01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投稿与审核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创作者提交版本后进入待审核；管理员批准或驳回。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仅 approved/published 内容进入社区公开查询。</w:t>
            </w:r>
          </w:p>
        </w:tc>
      </w:tr>
      <w:tr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FR-MOD-01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社区治理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管理员可查询已发布/已下架内容，并执行下架或恢复。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操作记录内容类型、对象、原因、操作者和时间。</w:t>
            </w:r>
          </w:p>
        </w:tc>
      </w:tr>
      <w:tr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FR-SYS-01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健康与文档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系统提供健康检查、Swagger UI 和 OpenAPI JSON。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后端健康接口可被容器探针访问；OpenAPI 可导入 Apifox。</w:t>
            </w:r>
          </w:p>
        </w:tc>
      </w:tr>
    </w:tbl>
    <w:p>
      <w:pPr>
        <w:spacing w:after="0"/>
      </w:pPr>
    </w:p>
    <w:p>
      <w:pPr>
        <w:pStyle w:val="Heading1"/>
      </w:pPr>
      <w:r>
        <w:t>5. 核心业务规则</w:t>
      </w:r>
    </w:p>
    <w:p>
      <w:pPr>
        <w:pStyle w:val="ListBullet"/>
      </w:pPr>
      <w:r>
        <w:rPr>
          <w:rFonts w:ascii="Calibri" w:hAnsi="Calibri" w:eastAsia="Microsoft YaHei"/>
        </w:rPr>
        <w:t>官方资料与玩家创作数据分离；玩家内容不得写入官方 Milvus collection。</w:t>
      </w:r>
    </w:p>
    <w:p>
      <w:pPr>
        <w:pStyle w:val="ListBullet"/>
      </w:pPr>
      <w:r>
        <w:rPr>
          <w:rFonts w:ascii="Calibri" w:hAnsi="Calibri" w:eastAsia="Microsoft YaHei"/>
        </w:rPr>
        <w:t>私有资源必须按当前 user_id 查询，避免通过猜测 UUID 访问他人数据。</w:t>
      </w:r>
    </w:p>
    <w:p>
      <w:pPr>
        <w:pStyle w:val="ListBullet"/>
      </w:pPr>
      <w:r>
        <w:rPr>
          <w:rFonts w:ascii="Calibri" w:hAnsi="Calibri" w:eastAsia="Microsoft YaHei"/>
        </w:rPr>
        <w:t>长期记忆必须经过用户确认；LLM 不能直接修改记忆、队伍、计划或公开状态。</w:t>
      </w:r>
    </w:p>
    <w:p>
      <w:pPr>
        <w:pStyle w:val="ListBullet"/>
      </w:pPr>
      <w:r>
        <w:rPr>
          <w:rFonts w:ascii="Calibri" w:hAnsi="Calibri" w:eastAsia="Microsoft YaHei"/>
        </w:rPr>
        <w:t>配队、养成、材料和每周规划中的数值结论优先由确定性工具计算并校验。</w:t>
      </w:r>
    </w:p>
    <w:p>
      <w:pPr>
        <w:pStyle w:val="ListBullet"/>
      </w:pPr>
      <w:r>
        <w:rPr>
          <w:rFonts w:ascii="Calibri" w:hAnsi="Calibri" w:eastAsia="Microsoft YaHei"/>
        </w:rPr>
        <w:t>AI 回答遵循 Claim → Citation → Validation → Filtering，无法获得可靠证据时应明确降级或拒答。</w:t>
      </w:r>
    </w:p>
    <w:p>
      <w:pPr>
        <w:pStyle w:val="ListBullet"/>
      </w:pPr>
      <w:r>
        <w:rPr>
          <w:rFonts w:ascii="Calibri" w:hAnsi="Calibri" w:eastAsia="Microsoft YaHei"/>
        </w:rPr>
        <w:t>投稿需经历 draft/submitted/approved 或 rejected 等状态；发布版本与当前草稿互不覆盖。</w:t>
      </w:r>
    </w:p>
    <w:p>
      <w:pPr>
        <w:pStyle w:val="Heading1"/>
      </w:pPr>
      <w:r>
        <w:t>6. 非功能需求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350"/>
        <w:gridCol w:w="1250"/>
        <w:gridCol w:w="4100"/>
        <w:gridCol w:w="2660"/>
      </w:tblGrid>
      <w:tr>
        <w:trPr>
          <w:tblHeader w:val="true"/>
        </w:trP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编号</w:t>
            </w:r>
          </w:p>
        </w:tc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类别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需求/目标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验证方式</w:t>
            </w:r>
          </w:p>
        </w:tc>
      </w:tr>
      <w:t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NFR-PERF-01</w:t>
            </w:r>
          </w:p>
        </w:tc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性能目标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普通目录接口在目标环境 P95 ≤ 500 ms；纯数据库写操作 P95 ≤ 800 ms。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使用固定数据集和并发模型压测；排除外部 LLM 接口。</w:t>
            </w:r>
          </w:p>
        </w:tc>
      </w:tr>
      <w:t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NFR-PERF-02</w:t>
            </w:r>
          </w:p>
        </w:tc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AI 时延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同步聊天应在 120 秒客户端超时内完成；长任务优先使用异步 job。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记录路由、检索、重排、生成阶段耗时。</w:t>
            </w:r>
          </w:p>
        </w:tc>
      </w:tr>
      <w:t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NFR-CAP-01</w:t>
            </w:r>
          </w:p>
        </w:tc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容量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目标容量必须以用户数、日对话量、知识条目数和向量数定义。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上线前形成容量基线和 70%/85% 告警阈值。</w:t>
            </w:r>
          </w:p>
        </w:tc>
      </w:tr>
      <w:t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NFR-AVL-01</w:t>
            </w:r>
          </w:p>
        </w:tc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可用性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单机试运行提供健康检查和自动重启；生产目标可用性由 SLA 另行约定。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故障注入验证依赖不可用时的错误码和降级。</w:t>
            </w:r>
          </w:p>
        </w:tc>
      </w:tr>
      <w:t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NFR-REL-01</w:t>
            </w:r>
          </w:p>
        </w:tc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一致性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用户写操作事务化；外键资源删除按设计级联或受限。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数据库约束、迁移测试和并发冲突测试。</w:t>
            </w:r>
          </w:p>
        </w:tc>
      </w:tr>
      <w:t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NFR-SEC-01</w:t>
            </w:r>
          </w:p>
        </w:tc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认证安全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密码仅保存强哈希，令牌有有效期，生产禁用默认 JWT 密钥。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安全配置检查、401/403 越权测试、秘密扫描。</w:t>
            </w:r>
          </w:p>
        </w:tc>
      </w:tr>
      <w:t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NFR-SEC-02</w:t>
            </w:r>
          </w:p>
        </w:tc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输入与权限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所有请求经 Pydantic 校验；管理员操作需服务器端授权。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非法枚举、超长文本、IDOR 和注入测试。</w:t>
            </w:r>
          </w:p>
        </w:tc>
      </w:tr>
      <w:t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NFR-PRIV-01</w:t>
            </w:r>
          </w:p>
        </w:tc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隐私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仅保存提供服务所需用户数据，支持删除会话、记忆和自有内容。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隐私清单、保留周期和删除验证。</w:t>
            </w:r>
          </w:p>
        </w:tc>
      </w:tr>
      <w:t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NFR-MAIN-01</w:t>
            </w:r>
          </w:p>
        </w:tc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可维护性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前后端模块分层，数据库变更必须使用 Alembic。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ruff、pytest、type-check 和 build 作为合并门禁。</w:t>
            </w:r>
          </w:p>
        </w:tc>
      </w:tr>
      <w:t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NFR-COMP-01</w:t>
            </w:r>
          </w:p>
        </w:tc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兼容性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支持现代 Chromium/Edge/Firefox；后端支持 Python 3.11–3.12，前端 Node.js 20+。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浏览器矩阵与构建验证。</w:t>
            </w:r>
          </w:p>
        </w:tc>
      </w:tr>
      <w:t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NFR-OBS-01</w:t>
            </w:r>
          </w:p>
        </w:tc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可观测性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记录请求 ID、状态码、耗时、Agent 路由、依赖错误与模型成本，不记录密钥和明文密码。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日志抽查、敏感信息检查、指标告警演练。</w:t>
            </w:r>
          </w:p>
        </w:tc>
      </w:tr>
      <w:t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NFR-DATA-01</w:t>
            </w:r>
          </w:p>
        </w:tc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数据质量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知识数据具备来源、版本、清洗与对齐报告；引用可回溯。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运行现有数据审计脚本并检查差异。</w:t>
            </w:r>
          </w:p>
        </w:tc>
      </w:tr>
      <w:t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NFR-BACKUP-01</w:t>
            </w:r>
          </w:p>
        </w:tc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备份恢复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生产需定义 PostgreSQL 与 Milvus 的 RPO/RTO 并完成恢复演练。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从备份恢复至隔离环境并验证关键查询。</w:t>
            </w:r>
          </w:p>
        </w:tc>
      </w:tr>
      <w:t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NFR-UX-01</w:t>
            </w:r>
          </w:p>
        </w:tc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易用与无障碍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关键流程支持键盘操作、明确错误提示和响应式布局，目标为 WCAG 2.1 AA。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自动检查加人工键盘/读屏抽查。</w:t>
            </w:r>
          </w:p>
        </w:tc>
      </w:tr>
    </w:tbl>
    <w:p>
      <w:pPr>
        <w:spacing w:after="0"/>
      </w:pPr>
    </w:p>
    <w:p>
      <w:pPr>
        <w:pStyle w:val="Heading1"/>
      </w:pPr>
      <w:r>
        <w:t>7. 外部接口与依赖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2200"/>
        <w:gridCol w:w="2400"/>
        <w:gridCol w:w="2960"/>
      </w:tblGrid>
      <w:tr>
        <w:trPr>
          <w:tblHeader w:val="true"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依赖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用途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失败影响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降级/处置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DeepSeek / Qwen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意图识别或有据生成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AI 回答受限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mock、规则路由、明确 503 或简化回答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BGE 模型服务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向量化与重排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语义检索不可用或降质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健康检查、CPU 模式、本地检索回退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Milvus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向量知识检索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RAG 证据不可用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结构化目录仍可用，禁止无依据编造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PostgreSQL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账号与业务状态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登录和保存功能不可用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快速失败、告警、从备份恢复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本地 JSON/Markdown/图片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官方目录与静态资源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内容缺失或显示异常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启动检查、清单校验、占位资源</w:t>
            </w:r>
          </w:p>
        </w:tc>
      </w:tr>
    </w:tbl>
    <w:p>
      <w:pPr>
        <w:spacing w:after="0"/>
      </w:pPr>
    </w:p>
    <w:p>
      <w:pPr>
        <w:pStyle w:val="Heading1"/>
      </w:pPr>
      <w:r>
        <w:t>8. 验收建议</w:t>
      </w:r>
    </w:p>
    <w:p>
      <w:pPr>
        <w:pStyle w:val="ListNumber"/>
      </w:pPr>
      <w:r>
        <w:rPr>
          <w:rFonts w:ascii="Calibri" w:hAnsi="Calibri" w:eastAsia="Microsoft YaHei"/>
        </w:rPr>
        <w:t>按功能需求编号建立测试用例，至少覆盖成功、校验失败、未认证、越权和资源不存在。</w:t>
      </w:r>
    </w:p>
    <w:p>
      <w:pPr>
        <w:pStyle w:val="ListNumber"/>
      </w:pPr>
      <w:r>
        <w:rPr>
          <w:rFonts w:ascii="Calibri" w:hAnsi="Calibri" w:eastAsia="Microsoft YaHei"/>
        </w:rPr>
        <w:t>使用 OpenAPI/Apifox 建立接口回归集，登录后自动保存 token 并运行受保护接口。</w:t>
      </w:r>
    </w:p>
    <w:p>
      <w:pPr>
        <w:pStyle w:val="ListNumber"/>
      </w:pPr>
      <w:r>
        <w:rPr>
          <w:rFonts w:ascii="Calibri" w:hAnsi="Calibri" w:eastAsia="Microsoft YaHei"/>
        </w:rPr>
        <w:t>使用 pytest、ruff、前端 type-check 与 build 验证代码质量。</w:t>
      </w:r>
    </w:p>
    <w:p>
      <w:pPr>
        <w:pStyle w:val="ListNumber"/>
      </w:pPr>
      <w:r>
        <w:rPr>
          <w:rFonts w:ascii="Calibri" w:hAnsi="Calibri" w:eastAsia="Microsoft YaHei"/>
        </w:rPr>
        <w:t>在目标部署环境执行容量与时延测试，将测量结果回填非功能需求。</w:t>
      </w:r>
    </w:p>
    <w:p>
      <w:pPr>
        <w:pStyle w:val="ListNumber"/>
      </w:pPr>
      <w:r>
        <w:rPr>
          <w:rFonts w:ascii="Calibri" w:hAnsi="Calibri" w:eastAsia="Microsoft YaHei"/>
        </w:rPr>
        <w:t>完成数据库迁移、备份恢复、模型服务不可用和外部 LLM 超时演练。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libri" w:hAnsi="Calibri" w:eastAsia="Microsoft YaHei"/>
        <w:color w:val="595959"/>
        <w:sz w:val="18"/>
      </w:rPr>
      <w:t xml:space="preserve">V1.0  ·  2026-07-29  ·  第 </w:t>
    </w:r>
    <w:r>
      <w:rPr>
        <w:rFonts w:ascii="Calibri" w:hAnsi="Calibri" w:eastAsia="Microsoft YaHei"/>
        <w:color w:val="595959"/>
        <w:sz w:val="18"/>
      </w:rPr>
      <w:fldChar w:fldCharType="begin"/>
      <w:instrText xml:space="preserve">PAGE</w:instrText>
      <w:fldChar w:fldCharType="end"/>
    </w:r>
    <w:r>
      <w:rPr>
        <w:rFonts w:ascii="Calibri" w:hAnsi="Calibri" w:eastAsia="Microsoft YaHei"/>
        <w:color w:val="595959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Microsoft YaHei"/>
        <w:color w:val="595959"/>
        <w:sz w:val="17"/>
      </w:rPr>
      <w:t>Star Rail Agents（星穹智库）  |  需求分析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02_需求分析报告</dc:title>
  <dc:subject>Star Rail Agents（星穹智库）</dc:subject>
  <dc:creator>Star Rail Agents 项目组</dc:creator>
  <cp:keywords>可行性,需求,设计,接口,数据库,FastAPI,Vue,PostgreSQL,Milvus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