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老视与斜视手机初筛临床标准待确认需求</w:t>
      </w:r>
    </w:p>
    <w:p>
      <w:r>
        <w:rPr>
          <w:color w:val="58636E"/>
          <w:sz w:val="18"/>
        </w:rPr>
        <w:t>提交对象  老视与斜视方向眼科专家    版本  2026年9月28日    状态  待专家确认</w:t>
      </w:r>
    </w:p>
    <w:p>
      <w:r>
        <w:t>请专家对下列项目逐项确定临床标准或明确“暂不支持”。《智能眼科-整合9.18》为研究方向提出了近视力、调节相关任务和眼位／眼动采集思路，但明确将目标人群、病种范围、临床金标准、任务细节和准确性要求留待专家补充。当前手机原型为打通流程采用的数字门槛，不能作为临床标准直接沿用。</w:t>
      </w:r>
    </w:p>
    <w:p>
      <w:r>
        <w:t>本文件仅覆盖老视与斜视。P0 表示正式采集临床数据或训练风险模型前应优先定稿；P1 表示可随试点方案补充。每项请填写最终决定、适用条件、数值及单位、参考依据、负责人和日期；如决定暂不支持，请说明系统应显示什么结果。</w:t>
      </w:r>
    </w:p>
    <w:p>
      <w:pPr>
        <w:pStyle w:val="Heading1"/>
      </w:pPr>
      <w:r>
        <w:t>需要优先作出的六项决定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6860"/>
      </w:tblGrid>
      <w:tr>
        <w:tc>
          <w:tcPr>
            <w:tcW w:type="dxa" w:w="1701"/>
            <w:shd w:fill="EAF0F4"/>
            <w:vAlign w:val="center"/>
          </w:tcPr>
          <w:p>
            <w:pPr>
              <w:spacing w:after="0"/>
            </w:pPr>
            <w:r>
              <w:rPr>
                <w:b/>
                <w:color w:val="164060"/>
              </w:rPr>
              <w:t>临床用途</w:t>
            </w:r>
          </w:p>
        </w:tc>
        <w:tc>
          <w:tcPr>
            <w:tcW w:type="dxa" w:w="6860"/>
            <w:vAlign w:val="center"/>
          </w:tcPr>
          <w:p>
            <w:pPr>
              <w:spacing w:after="0"/>
            </w:pPr>
            <w:r>
              <w:rPr>
                <w:b w:val="0"/>
              </w:rPr>
              <w:t>筛查哪一种疾病或功能异常，结果用于自测提醒还是医生转诊。</w:t>
            </w:r>
          </w:p>
        </w:tc>
      </w:tr>
      <w:tr>
        <w:tc>
          <w:tcPr>
            <w:tcW w:type="dxa" w:w="1701"/>
            <w:shd w:fill="EAF0F4"/>
            <w:vAlign w:val="center"/>
          </w:tcPr>
          <w:p>
            <w:pPr>
              <w:spacing w:after="0"/>
            </w:pPr>
            <w:r>
              <w:rPr>
                <w:b/>
                <w:color w:val="164060"/>
              </w:rPr>
              <w:t>参考检查</w:t>
            </w:r>
          </w:p>
        </w:tc>
        <w:tc>
          <w:tcPr>
            <w:tcW w:type="dxa" w:w="6860"/>
            <w:vAlign w:val="center"/>
          </w:tcPr>
          <w:p>
            <w:pPr>
              <w:spacing w:after="0"/>
            </w:pPr>
            <w:r>
              <w:rPr>
                <w:b w:val="0"/>
              </w:rPr>
              <w:t>老视和斜视各自采用什么临床检查、在什么矫正与注视条件下确立标签。</w:t>
            </w:r>
          </w:p>
        </w:tc>
      </w:tr>
      <w:tr>
        <w:tc>
          <w:tcPr>
            <w:tcW w:type="dxa" w:w="1701"/>
            <w:shd w:fill="EAF0F4"/>
            <w:vAlign w:val="center"/>
          </w:tcPr>
          <w:p>
            <w:pPr>
              <w:spacing w:after="0"/>
            </w:pPr>
            <w:r>
              <w:rPr>
                <w:b/>
                <w:color w:val="164060"/>
              </w:rPr>
              <w:t>测试协议</w:t>
            </w:r>
          </w:p>
        </w:tc>
        <w:tc>
          <w:tcPr>
            <w:tcW w:type="dxa" w:w="6860"/>
            <w:vAlign w:val="center"/>
          </w:tcPr>
          <w:p>
            <w:pPr>
              <w:spacing w:after="0"/>
            </w:pPr>
            <w:r>
              <w:rPr>
                <w:b w:val="0"/>
              </w:rPr>
              <w:t>近视力、移近、远近切换、固定、遮盖、追随任务的统一动作和有效性标准。</w:t>
            </w:r>
          </w:p>
        </w:tc>
      </w:tr>
      <w:tr>
        <w:tc>
          <w:tcPr>
            <w:tcW w:type="dxa" w:w="1701"/>
            <w:shd w:fill="EAF0F4"/>
            <w:vAlign w:val="center"/>
          </w:tcPr>
          <w:p>
            <w:pPr>
              <w:spacing w:after="0"/>
            </w:pPr>
            <w:r>
              <w:rPr>
                <w:b/>
                <w:color w:val="164060"/>
              </w:rPr>
              <w:t>测量边界</w:t>
            </w:r>
          </w:p>
        </w:tc>
        <w:tc>
          <w:tcPr>
            <w:tcW w:type="dxa" w:w="6860"/>
            <w:vAlign w:val="center"/>
          </w:tcPr>
          <w:p>
            <w:pPr>
              <w:spacing w:after="0"/>
            </w:pPr>
            <w:r>
              <w:rPr>
                <w:b w:val="0"/>
              </w:rPr>
              <w:t>屏幕视标、眼屏距离、反光点、头姿及光源几何的允许误差与不适用设备。</w:t>
            </w:r>
          </w:p>
        </w:tc>
      </w:tr>
      <w:tr>
        <w:tc>
          <w:tcPr>
            <w:tcW w:type="dxa" w:w="1701"/>
            <w:shd w:fill="EAF0F4"/>
            <w:vAlign w:val="center"/>
          </w:tcPr>
          <w:p>
            <w:pPr>
              <w:spacing w:after="0"/>
            </w:pPr>
            <w:r>
              <w:rPr>
                <w:b/>
                <w:color w:val="164060"/>
              </w:rPr>
              <w:t>风险分级</w:t>
            </w:r>
          </w:p>
        </w:tc>
        <w:tc>
          <w:tcPr>
            <w:tcW w:type="dxa" w:w="6860"/>
            <w:vAlign w:val="center"/>
          </w:tcPr>
          <w:p>
            <w:pPr>
              <w:spacing w:after="0"/>
            </w:pPr>
            <w:r>
              <w:rPr>
                <w:b w:val="0"/>
              </w:rPr>
              <w:t>三级结果对应的临床含义、阈值、转诊动作和无法评估条件。</w:t>
            </w:r>
          </w:p>
        </w:tc>
      </w:tr>
      <w:tr>
        <w:tc>
          <w:tcPr>
            <w:tcW w:type="dxa" w:w="1701"/>
            <w:shd w:fill="EAF0F4"/>
            <w:vAlign w:val="center"/>
          </w:tcPr>
          <w:p>
            <w:pPr>
              <w:spacing w:after="0"/>
            </w:pPr>
            <w:r>
              <w:rPr>
                <w:b/>
                <w:color w:val="164060"/>
              </w:rPr>
              <w:t>验证目标</w:t>
            </w:r>
          </w:p>
        </w:tc>
        <w:tc>
          <w:tcPr>
            <w:tcW w:type="dxa" w:w="6860"/>
            <w:vAlign w:val="center"/>
          </w:tcPr>
          <w:p>
            <w:pPr>
              <w:spacing w:after="0"/>
            </w:pPr>
            <w:r>
              <w:rPr>
                <w:b w:val="0"/>
              </w:rPr>
              <w:t>最低敏感度、特异度、失败率、亚组表现及前瞻性验证方案。</w:t>
            </w:r>
          </w:p>
        </w:tc>
      </w:tr>
    </w:tbl>
    <w:p>
      <w:pPr>
        <w:pStyle w:val="Heading1"/>
      </w:pPr>
      <w:r>
        <w:t>已有原型数字仅供专家复核</w:t>
      </w:r>
    </w:p>
    <w:p>
      <w:r>
        <w:t>老视：40 cm 近视力、近点 40 cm、0.5 小数视力、25／50 cm 正确率和“两项异常判高风险”。斜视：33 cm 采集、候选瞳孔与角膜反光点、0.15／0.12 虹膜直径及追随相关 0.3。上述数值是工程演示切点，缺少适用人群、参考检查和前瞻性准确性验证；它们在下面分别列为待确认项。</w:t>
      </w:r>
    </w:p>
    <w:p>
      <w:pPr>
        <w:pStyle w:val="Heading1"/>
      </w:pPr>
      <w:r>
        <w:t>一 共同临床定位与数据采集</w:t>
      </w:r>
    </w:p>
    <w:p>
      <w:pPr>
        <w:keepNext/>
        <w:spacing w:before="80" w:after="40"/>
      </w:pPr>
      <w:r>
        <w:rPr>
          <w:b/>
          <w:color w:val="164060"/>
        </w:rPr>
        <w:t>C01  筛查用途与输出边界  [P0]</w:t>
      </w:r>
    </w:p>
    <w:p>
      <w:pPr>
        <w:keepNext/>
        <w:spacing w:after="20"/>
        <w:ind w:left="227"/>
      </w:pPr>
      <w:r>
        <w:rPr>
          <w:b/>
        </w:rPr>
        <w:t>需专家明确：</w:t>
      </w:r>
      <w:r>
        <w:t>分别定义老视和斜视的目标：近距功能受限、临床疾病、眼位异常，或需要转诊；确定低、中、高风险各自对应的行动，以及哪些结果必须写“无法评估”。</w:t>
      </w:r>
    </w:p>
    <w:p>
      <w:pPr>
        <w:keepLines/>
        <w:spacing w:after="100"/>
        <w:ind w:left="227"/>
      </w:pPr>
      <w:r>
        <w:rPr>
          <w:color w:val="697077"/>
          <w:sz w:val="17"/>
        </w:rPr>
        <w:t>专家决定：____________________________________________________________</w:t>
      </w:r>
    </w:p>
    <w:p>
      <w:pPr>
        <w:keepNext/>
        <w:spacing w:before="80" w:after="40"/>
      </w:pPr>
      <w:r>
        <w:rPr>
          <w:b/>
          <w:color w:val="164060"/>
        </w:rPr>
        <w:t>C02  适用人群  [P0]</w:t>
      </w:r>
    </w:p>
    <w:p>
      <w:pPr>
        <w:keepNext/>
        <w:spacing w:after="20"/>
        <w:ind w:left="227"/>
      </w:pPr>
      <w:r>
        <w:rPr>
          <w:b/>
        </w:rPr>
        <w:t>需专家明确：</w:t>
      </w:r>
      <w:r>
        <w:t>给出纳入年龄、儿童或成人、门诊或家庭场景、本人或监护人操作、既往确诊者能否参加；两病种分别定义。</w:t>
      </w:r>
    </w:p>
    <w:p>
      <w:pPr>
        <w:keepLines/>
        <w:spacing w:after="100"/>
        <w:ind w:left="227"/>
      </w:pPr>
      <w:r>
        <w:rPr>
          <w:color w:val="697077"/>
          <w:sz w:val="17"/>
        </w:rPr>
        <w:t>专家决定：____________________________________________________________</w:t>
      </w:r>
    </w:p>
    <w:p>
      <w:pPr>
        <w:keepNext/>
        <w:spacing w:before="80" w:after="40"/>
      </w:pPr>
      <w:r>
        <w:rPr>
          <w:b/>
          <w:color w:val="164060"/>
        </w:rPr>
        <w:t>C03  排除与单列亚组  [P0]</w:t>
      </w:r>
    </w:p>
    <w:p>
      <w:pPr>
        <w:keepNext/>
        <w:spacing w:after="20"/>
        <w:ind w:left="227"/>
      </w:pPr>
      <w:r>
        <w:rPr>
          <w:b/>
        </w:rPr>
        <w:t>需专家明确：</w:t>
      </w:r>
      <w:r>
        <w:t>列出白内障、眼底病、低视力、眼外伤或手术、眼震、神经系统疾病、认知或配合障碍等的排除或单列规则；明确哪些仅记录为协变量。</w:t>
      </w:r>
    </w:p>
    <w:p>
      <w:pPr>
        <w:keepLines/>
        <w:spacing w:after="100"/>
        <w:ind w:left="227"/>
      </w:pPr>
      <w:r>
        <w:rPr>
          <w:color w:val="697077"/>
          <w:sz w:val="17"/>
        </w:rPr>
        <w:t>专家决定：____________________________________________________________</w:t>
      </w:r>
    </w:p>
    <w:p>
      <w:pPr>
        <w:keepNext/>
        <w:spacing w:before="80" w:after="40"/>
      </w:pPr>
      <w:r>
        <w:rPr>
          <w:b/>
          <w:color w:val="164060"/>
        </w:rPr>
        <w:t>C04  检查顺序与时间间隔  [P0]</w:t>
      </w:r>
    </w:p>
    <w:p>
      <w:pPr>
        <w:keepNext/>
        <w:spacing w:after="20"/>
        <w:ind w:left="227"/>
      </w:pPr>
      <w:r>
        <w:rPr>
          <w:b/>
        </w:rPr>
        <w:t>需专家明确：</w:t>
      </w:r>
      <w:r>
        <w:t>规定手机测试与临床参考检查的允许时间差、测试先后顺序、当天用药和疲劳状态、重复次数及操作员培训要求。</w:t>
      </w:r>
    </w:p>
    <w:p>
      <w:pPr>
        <w:keepLines/>
        <w:spacing w:after="100"/>
        <w:ind w:left="227"/>
      </w:pPr>
      <w:r>
        <w:rPr>
          <w:color w:val="697077"/>
          <w:sz w:val="17"/>
        </w:rPr>
        <w:t>专家决定：____________________________________________________________</w:t>
      </w:r>
    </w:p>
    <w:p>
      <w:pPr>
        <w:keepNext/>
        <w:spacing w:before="80" w:after="40"/>
      </w:pPr>
      <w:r>
        <w:rPr>
          <w:b/>
          <w:color w:val="164060"/>
        </w:rPr>
        <w:t>C05  问卷字段及缺失处理  [P0]</w:t>
      </w:r>
    </w:p>
    <w:p>
      <w:pPr>
        <w:keepNext/>
        <w:spacing w:after="20"/>
        <w:ind w:left="227"/>
      </w:pPr>
      <w:r>
        <w:rPr>
          <w:b/>
        </w:rPr>
        <w:t>需专家明确：</w:t>
      </w:r>
      <w:r>
        <w:t>核定必填人口学、眼病史、屈光矫正、症状、近用需求和既往治疗字段；指定每题选项、单位、未知值、缺失时能否继续。</w:t>
      </w:r>
    </w:p>
    <w:p>
      <w:pPr>
        <w:keepLines/>
        <w:spacing w:after="100"/>
        <w:ind w:left="227"/>
      </w:pPr>
      <w:r>
        <w:rPr>
          <w:color w:val="697077"/>
          <w:sz w:val="17"/>
        </w:rPr>
        <w:t>专家决定：____________________________________________________________</w:t>
      </w:r>
    </w:p>
    <w:p>
      <w:pPr>
        <w:keepNext/>
        <w:spacing w:before="80" w:after="40"/>
      </w:pPr>
      <w:r>
        <w:rPr>
          <w:b/>
          <w:color w:val="164060"/>
        </w:rPr>
        <w:t>C06  环境和设备可用范围  [P0]</w:t>
      </w:r>
    </w:p>
    <w:p>
      <w:pPr>
        <w:keepNext/>
        <w:spacing w:after="20"/>
        <w:ind w:left="227"/>
      </w:pPr>
      <w:r>
        <w:rPr>
          <w:b/>
        </w:rPr>
        <w:t>需专家明确：</w:t>
      </w:r>
      <w:r>
        <w:t>给出照度、屏幕亮度、反光、测试距离、头姿、分辨率、帧率、摄像头和眼镜反射等可接受范围；区分采集最低要求与统计分层变量。</w:t>
      </w:r>
    </w:p>
    <w:p>
      <w:pPr>
        <w:keepLines/>
        <w:spacing w:after="100"/>
        <w:ind w:left="227"/>
      </w:pPr>
      <w:r>
        <w:rPr>
          <w:color w:val="697077"/>
          <w:sz w:val="17"/>
        </w:rPr>
        <w:t>专家决定：____________________________________________________________</w:t>
      </w:r>
    </w:p>
    <w:p>
      <w:pPr>
        <w:keepNext/>
        <w:spacing w:before="80" w:after="40"/>
      </w:pPr>
      <w:r>
        <w:rPr>
          <w:b/>
          <w:color w:val="164060"/>
        </w:rPr>
        <w:t>C07  质量不足与复测  [P0]</w:t>
      </w:r>
    </w:p>
    <w:p>
      <w:pPr>
        <w:keepNext/>
        <w:spacing w:after="20"/>
        <w:ind w:left="227"/>
      </w:pPr>
      <w:r>
        <w:rPr>
          <w:b/>
        </w:rPr>
        <w:t>需专家明确：</w:t>
      </w:r>
      <w:r>
        <w:t>逐任务定义失眼、测距跳变、反光点缺失、遮眼错误、作答超时、跟随失败的拒判或复测条件；规定最多复测次数及保留哪次结果。</w:t>
      </w:r>
    </w:p>
    <w:p>
      <w:pPr>
        <w:keepLines/>
        <w:spacing w:after="100"/>
        <w:ind w:left="227"/>
      </w:pPr>
      <w:r>
        <w:rPr>
          <w:color w:val="697077"/>
          <w:sz w:val="17"/>
        </w:rPr>
        <w:t>专家决定：____________________________________________________________</w:t>
      </w:r>
    </w:p>
    <w:p>
      <w:pPr>
        <w:keepNext/>
        <w:spacing w:before="80" w:after="40"/>
      </w:pPr>
      <w:r>
        <w:rPr>
          <w:b/>
          <w:color w:val="164060"/>
        </w:rPr>
        <w:t>C08  数据授权与人工复核  [P1]</w:t>
      </w:r>
    </w:p>
    <w:p>
      <w:pPr>
        <w:keepNext/>
        <w:spacing w:after="20"/>
        <w:ind w:left="227"/>
      </w:pPr>
      <w:r>
        <w:rPr>
          <w:b/>
        </w:rPr>
        <w:t>需专家明确：</w:t>
      </w:r>
      <w:r>
        <w:t>确定是否采集短时眼区图像作标注与误差分析、授权和脱敏方式、保存期限、专家盲法复核流程；当前原型默认仅保存结构化数据。</w:t>
      </w:r>
    </w:p>
    <w:p>
      <w:pPr>
        <w:keepLines/>
        <w:spacing w:after="100"/>
        <w:ind w:left="227"/>
      </w:pPr>
      <w:r>
        <w:rPr>
          <w:color w:val="697077"/>
          <w:sz w:val="17"/>
        </w:rPr>
        <w:t>专家决定：____________________________________________________________</w:t>
      </w:r>
    </w:p>
    <w:p>
      <w:pPr>
        <w:pStyle w:val="Heading1"/>
      </w:pPr>
      <w:r>
        <w:t>二 老视临床标准</w:t>
      </w:r>
    </w:p>
    <w:p>
      <w:pPr>
        <w:keepNext/>
        <w:spacing w:before="80" w:after="40"/>
      </w:pPr>
      <w:r>
        <w:rPr>
          <w:b/>
          <w:color w:val="164060"/>
        </w:rPr>
        <w:t>P01  老视标签定义  [P0]</w:t>
      </w:r>
    </w:p>
    <w:p>
      <w:pPr>
        <w:keepNext/>
        <w:spacing w:after="20"/>
        <w:ind w:left="227"/>
      </w:pPr>
      <w:r>
        <w:rPr>
          <w:b/>
        </w:rPr>
        <w:t>需专家明确：</w:t>
      </w:r>
      <w:r>
        <w:t>明确研究终点是临床老视、标准远用矫正下的近距功能下降，还是当前眼镜下的近用困难；区分单眼、双眼和受试者级标签。</w:t>
      </w:r>
    </w:p>
    <w:p>
      <w:pPr>
        <w:keepLines/>
        <w:spacing w:after="100"/>
        <w:ind w:left="227"/>
      </w:pPr>
      <w:r>
        <w:rPr>
          <w:color w:val="697077"/>
          <w:sz w:val="17"/>
        </w:rPr>
        <w:t>专家决定：____________________________________________________________</w:t>
      </w:r>
    </w:p>
    <w:p>
      <w:pPr>
        <w:keepNext/>
        <w:spacing w:before="80" w:after="40"/>
      </w:pPr>
      <w:r>
        <w:rPr>
          <w:b/>
          <w:color w:val="164060"/>
        </w:rPr>
        <w:t>P02  屈光和佩镜条件  [P0]</w:t>
      </w:r>
    </w:p>
    <w:p>
      <w:pPr>
        <w:keepNext/>
        <w:spacing w:after="20"/>
        <w:ind w:left="227"/>
      </w:pPr>
      <w:r>
        <w:rPr>
          <w:b/>
        </w:rPr>
        <w:t>需专家明确：</w:t>
      </w:r>
      <w:r>
        <w:t>规定远用最佳矫正、日常眼镜、隐形眼镜、近用 Add、单眼视矫正及人工晶状体的测试模式和记录参数；说明各模式能否合并分析。</w:t>
      </w:r>
    </w:p>
    <w:p>
      <w:pPr>
        <w:keepLines/>
        <w:spacing w:after="100"/>
        <w:ind w:left="227"/>
      </w:pPr>
      <w:r>
        <w:rPr>
          <w:color w:val="697077"/>
          <w:sz w:val="17"/>
        </w:rPr>
        <w:t>专家决定：____________________________________________________________</w:t>
      </w:r>
    </w:p>
    <w:p>
      <w:pPr>
        <w:keepNext/>
        <w:spacing w:before="80" w:after="40"/>
      </w:pPr>
      <w:r>
        <w:rPr>
          <w:b/>
          <w:color w:val="164060"/>
        </w:rPr>
        <w:t>P03  临床参考检查  [P0]</w:t>
      </w:r>
    </w:p>
    <w:p>
      <w:pPr>
        <w:keepNext/>
        <w:spacing w:after="20"/>
        <w:ind w:left="227"/>
      </w:pPr>
      <w:r>
        <w:rPr>
          <w:b/>
        </w:rPr>
        <w:t>需专家明确：</w:t>
      </w:r>
      <w:r>
        <w:t>确定验光、矫正远近视力、近附加度数、调节幅度或其他检查的组合，以及由谁、按何阈值给最终标签；记录原始值和判断依据。</w:t>
      </w:r>
    </w:p>
    <w:p>
      <w:pPr>
        <w:keepLines/>
        <w:spacing w:after="100"/>
        <w:ind w:left="227"/>
      </w:pPr>
      <w:r>
        <w:rPr>
          <w:color w:val="697077"/>
          <w:sz w:val="17"/>
        </w:rPr>
        <w:t>专家决定：____________________________________________________________</w:t>
      </w:r>
    </w:p>
    <w:p>
      <w:pPr>
        <w:keepNext/>
        <w:spacing w:before="80" w:after="40"/>
      </w:pPr>
      <w:r>
        <w:rPr>
          <w:b/>
          <w:color w:val="164060"/>
        </w:rPr>
        <w:t>P04  近视力测试条件  [P0]</w:t>
      </w:r>
    </w:p>
    <w:p>
      <w:pPr>
        <w:keepNext/>
        <w:spacing w:after="20"/>
        <w:ind w:left="227"/>
      </w:pPr>
      <w:r>
        <w:rPr>
          <w:b/>
        </w:rPr>
        <w:t>需专家明确：</w:t>
      </w:r>
      <w:r>
        <w:t>确定标准距离、允许波动、右眼／左眼／双眼顺序、遮眼方式、照度、屏幕亮度、字体或视标及对比度；明确是否需多距离测试。</w:t>
      </w:r>
    </w:p>
    <w:p>
      <w:pPr>
        <w:keepLines/>
        <w:spacing w:after="100"/>
        <w:ind w:left="227"/>
      </w:pPr>
      <w:r>
        <w:rPr>
          <w:color w:val="697077"/>
          <w:sz w:val="17"/>
        </w:rPr>
        <w:t>专家决定：____________________________________________________________</w:t>
      </w:r>
    </w:p>
    <w:p>
      <w:pPr>
        <w:keepNext/>
        <w:spacing w:before="80" w:after="40"/>
      </w:pPr>
      <w:r>
        <w:rPr>
          <w:b/>
          <w:color w:val="164060"/>
        </w:rPr>
        <w:t>P05  视标尺寸与通过规则  [P0]</w:t>
      </w:r>
    </w:p>
    <w:p>
      <w:pPr>
        <w:keepNext/>
        <w:spacing w:after="20"/>
        <w:ind w:left="227"/>
      </w:pPr>
      <w:r>
        <w:rPr>
          <w:b/>
        </w:rPr>
        <w:t>需专家明确：</w:t>
      </w:r>
      <w:r>
        <w:t>确认采用的小数视力或 logMAR 级别、每级题数和通过比例、猜测校正、最低可测等级；规定以实测眼屏距离和屏幕物理像素密度计算角尺寸，以及像素不足时的处理。</w:t>
      </w:r>
    </w:p>
    <w:p>
      <w:pPr>
        <w:keepLines/>
        <w:spacing w:after="100"/>
        <w:ind w:left="227"/>
      </w:pPr>
      <w:r>
        <w:rPr>
          <w:color w:val="697077"/>
          <w:sz w:val="17"/>
        </w:rPr>
        <w:t>专家决定：____________________________________________________________</w:t>
      </w:r>
    </w:p>
    <w:p>
      <w:pPr>
        <w:keepNext/>
        <w:spacing w:before="80" w:after="40"/>
      </w:pPr>
      <w:r>
        <w:rPr>
          <w:b/>
          <w:color w:val="164060"/>
        </w:rPr>
        <w:t>P06  移近法终点  [P0]</w:t>
      </w:r>
    </w:p>
    <w:p>
      <w:pPr>
        <w:keepNext/>
        <w:spacing w:after="20"/>
        <w:ind w:left="227"/>
      </w:pPr>
      <w:r>
        <w:rPr>
          <w:b/>
        </w:rPr>
        <w:t>需专家明确：</w:t>
      </w:r>
      <w:r>
        <w:t>定义首次持续模糊、重新清晰的操作话术、停留时长、每档距离、重复次数、离群值、量程外结果和最终统计量；是否需要客观调节检查对照。</w:t>
      </w:r>
    </w:p>
    <w:p>
      <w:pPr>
        <w:keepLines/>
        <w:spacing w:after="100"/>
        <w:ind w:left="227"/>
      </w:pPr>
      <w:r>
        <w:rPr>
          <w:color w:val="697077"/>
          <w:sz w:val="17"/>
        </w:rPr>
        <w:t>专家决定：____________________________________________________________</w:t>
      </w:r>
    </w:p>
    <w:p>
      <w:pPr>
        <w:keepNext/>
        <w:spacing w:before="80" w:after="40"/>
      </w:pPr>
      <w:r>
        <w:rPr>
          <w:b/>
          <w:color w:val="164060"/>
        </w:rPr>
        <w:t>P07  远近切换任务解释  [P0]</w:t>
      </w:r>
    </w:p>
    <w:p>
      <w:pPr>
        <w:keepNext/>
        <w:spacing w:after="20"/>
        <w:ind w:left="227"/>
      </w:pPr>
      <w:r>
        <w:rPr>
          <w:b/>
        </w:rPr>
        <w:t>需专家明确：</w:t>
      </w:r>
      <w:r>
        <w:t>确认 25／50 cm 切换模拟的时长、视标、反应时定义和结果单位；决定是否继续称“翻转拍模拟”，是否引入真实 ±镜片测试作临床对照。</w:t>
      </w:r>
    </w:p>
    <w:p>
      <w:pPr>
        <w:keepLines/>
        <w:spacing w:after="100"/>
        <w:ind w:left="227"/>
      </w:pPr>
      <w:r>
        <w:rPr>
          <w:color w:val="697077"/>
          <w:sz w:val="17"/>
        </w:rPr>
        <w:t>专家决定：____________________________________________________________</w:t>
      </w:r>
    </w:p>
    <w:p>
      <w:pPr>
        <w:keepNext/>
        <w:spacing w:before="80" w:after="40"/>
      </w:pPr>
      <w:r>
        <w:rPr>
          <w:b/>
          <w:color w:val="164060"/>
        </w:rPr>
        <w:t>P08  症状和功能问卷  [P1]</w:t>
      </w:r>
    </w:p>
    <w:p>
      <w:pPr>
        <w:keepNext/>
        <w:spacing w:after="20"/>
        <w:ind w:left="227"/>
      </w:pPr>
      <w:r>
        <w:rPr>
          <w:b/>
        </w:rPr>
        <w:t>需专家明确：</w:t>
      </w:r>
      <w:r>
        <w:t>选定需记录的近读模糊、伸臂阅读、光照依赖、头痛、工作距离和近用眼镜史；如采用量表，明确版本、评分及有效性依据。</w:t>
      </w:r>
    </w:p>
    <w:p>
      <w:pPr>
        <w:keepLines/>
        <w:spacing w:after="100"/>
        <w:ind w:left="227"/>
      </w:pPr>
      <w:r>
        <w:rPr>
          <w:color w:val="697077"/>
          <w:sz w:val="17"/>
        </w:rPr>
        <w:t>专家决定：____________________________________________________________</w:t>
      </w:r>
    </w:p>
    <w:p>
      <w:pPr>
        <w:keepNext/>
        <w:spacing w:before="80" w:after="40"/>
      </w:pPr>
      <w:r>
        <w:rPr>
          <w:b/>
          <w:color w:val="164060"/>
        </w:rPr>
        <w:t>P09  老视分级与混杂因素  [P0]</w:t>
      </w:r>
    </w:p>
    <w:p>
      <w:pPr>
        <w:keepNext/>
        <w:spacing w:after="20"/>
        <w:ind w:left="227"/>
      </w:pPr>
      <w:r>
        <w:rPr>
          <w:b/>
        </w:rPr>
        <w:t>需专家明确：</w:t>
      </w:r>
      <w:r>
        <w:t>定义临床阳性及轻中重或转诊层级；明确年龄、未矫正远视、近视、散光、干眼和晶状体手术如何影响判读及分层。</w:t>
      </w:r>
    </w:p>
    <w:p>
      <w:pPr>
        <w:keepLines/>
        <w:spacing w:after="100"/>
        <w:ind w:left="227"/>
      </w:pPr>
      <w:r>
        <w:rPr>
          <w:color w:val="697077"/>
          <w:sz w:val="17"/>
        </w:rPr>
        <w:t>专家决定：____________________________________________________________</w:t>
      </w:r>
    </w:p>
    <w:p>
      <w:pPr>
        <w:keepNext/>
        <w:spacing w:before="80" w:after="40"/>
      </w:pPr>
      <w:r>
        <w:rPr>
          <w:b/>
          <w:color w:val="164060"/>
        </w:rPr>
        <w:t>P10  原型工程阈值复核  [P0]</w:t>
      </w:r>
    </w:p>
    <w:p>
      <w:pPr>
        <w:keepNext/>
        <w:spacing w:after="20"/>
        <w:ind w:left="227"/>
      </w:pPr>
      <w:r>
        <w:rPr>
          <w:b/>
        </w:rPr>
        <w:t>需专家明确：</w:t>
      </w:r>
      <w:r>
        <w:t>逐项决定是否保留、重估或废弃：近点 ≥40 cm；40 cm 任一眼别未通过 0.5；25 cm 正确率 &lt;50% 且 50 cm ≥75%；两项触发高风险。</w:t>
      </w:r>
    </w:p>
    <w:p>
      <w:pPr>
        <w:keepLines/>
        <w:spacing w:after="100"/>
        <w:ind w:left="227"/>
      </w:pPr>
      <w:r>
        <w:rPr>
          <w:color w:val="697077"/>
          <w:sz w:val="17"/>
        </w:rPr>
        <w:t>专家决定：____________________________________________________________</w:t>
      </w:r>
    </w:p>
    <w:p>
      <w:pPr>
        <w:keepNext/>
        <w:spacing w:before="80" w:after="40"/>
      </w:pPr>
      <w:r>
        <w:rPr>
          <w:b/>
          <w:color w:val="164060"/>
        </w:rPr>
        <w:t>P11  老视测量误差与复测门槛  [P1]</w:t>
      </w:r>
    </w:p>
    <w:p>
      <w:pPr>
        <w:keepNext/>
        <w:spacing w:after="20"/>
        <w:ind w:left="227"/>
      </w:pPr>
      <w:r>
        <w:rPr>
          <w:b/>
        </w:rPr>
        <w:t>需专家明确：</w:t>
      </w:r>
      <w:r>
        <w:t>给出近视力、近点、反应时间在同人重复、不同操作者、不同手机间可接受的误差和最小有效率；明确患者自测的可操作性目标。</w:t>
      </w:r>
    </w:p>
    <w:p>
      <w:pPr>
        <w:keepLines/>
        <w:spacing w:after="100"/>
        <w:ind w:left="227"/>
      </w:pPr>
      <w:r>
        <w:rPr>
          <w:color w:val="697077"/>
          <w:sz w:val="17"/>
        </w:rPr>
        <w:t>专家决定：____________________________________________________________</w:t>
      </w:r>
    </w:p>
    <w:p>
      <w:pPr>
        <w:pStyle w:val="Heading1"/>
      </w:pPr>
      <w:r>
        <w:t>三 斜视临床标准</w:t>
      </w:r>
    </w:p>
    <w:p>
      <w:pPr>
        <w:keepNext/>
        <w:spacing w:before="80" w:after="40"/>
      </w:pPr>
      <w:r>
        <w:rPr>
          <w:b/>
          <w:color w:val="164060"/>
        </w:rPr>
        <w:t>S01  目标病种范围  [P0]</w:t>
      </w:r>
    </w:p>
    <w:p>
      <w:pPr>
        <w:keepNext/>
        <w:spacing w:after="20"/>
        <w:ind w:left="227"/>
      </w:pPr>
      <w:r>
        <w:rPr>
          <w:b/>
        </w:rPr>
        <w:t>需专家明确：</w:t>
      </w:r>
      <w:r>
        <w:t>决定仅筛查显性水平斜视，还是包含间歇性斜视、隐斜、垂直斜视、眼球运动障碍及其他双眼视觉异常；逐类规定输出或排除。</w:t>
      </w:r>
    </w:p>
    <w:p>
      <w:pPr>
        <w:keepLines/>
        <w:spacing w:after="100"/>
        <w:ind w:left="227"/>
      </w:pPr>
      <w:r>
        <w:rPr>
          <w:color w:val="697077"/>
          <w:sz w:val="17"/>
        </w:rPr>
        <w:t>专家决定：____________________________________________________________</w:t>
      </w:r>
    </w:p>
    <w:p>
      <w:pPr>
        <w:keepNext/>
        <w:spacing w:before="80" w:after="40"/>
      </w:pPr>
      <w:r>
        <w:rPr>
          <w:b/>
          <w:color w:val="164060"/>
        </w:rPr>
        <w:t>S02  适用年龄与配合要求  [P0]</w:t>
      </w:r>
    </w:p>
    <w:p>
      <w:pPr>
        <w:keepNext/>
        <w:spacing w:after="20"/>
        <w:ind w:left="227"/>
      </w:pPr>
      <w:r>
        <w:rPr>
          <w:b/>
        </w:rPr>
        <w:t>需专家明确：</w:t>
      </w:r>
      <w:r>
        <w:t>分别规定成人、儿童年龄段，能否理解固定注视和跟随任务，是否必须由家长或检查者协助遮盖；失配合如何标记。</w:t>
      </w:r>
    </w:p>
    <w:p>
      <w:pPr>
        <w:keepLines/>
        <w:spacing w:after="100"/>
        <w:ind w:left="227"/>
      </w:pPr>
      <w:r>
        <w:rPr>
          <w:color w:val="697077"/>
          <w:sz w:val="17"/>
        </w:rPr>
        <w:t>专家决定：____________________________________________________________</w:t>
      </w:r>
    </w:p>
    <w:p>
      <w:pPr>
        <w:keepNext/>
        <w:spacing w:before="80" w:after="40"/>
      </w:pPr>
      <w:r>
        <w:rPr>
          <w:b/>
          <w:color w:val="164060"/>
        </w:rPr>
        <w:t>S03  临床金标准  [P0]</w:t>
      </w:r>
    </w:p>
    <w:p>
      <w:pPr>
        <w:keepNext/>
        <w:spacing w:after="20"/>
        <w:ind w:left="227"/>
      </w:pPr>
      <w:r>
        <w:rPr>
          <w:b/>
        </w:rPr>
        <w:t>需专家明确：</w:t>
      </w:r>
      <w:r>
        <w:t>确定遮盖去遮盖、交替遮盖、三棱镜遮盖、近远眼位、眼球运动及立体视检查的必选组合；记录偏斜方向、大小、显隐性和检查距离。</w:t>
      </w:r>
    </w:p>
    <w:p>
      <w:pPr>
        <w:keepLines/>
        <w:spacing w:after="100"/>
        <w:ind w:left="227"/>
      </w:pPr>
      <w:r>
        <w:rPr>
          <w:color w:val="697077"/>
          <w:sz w:val="17"/>
        </w:rPr>
        <w:t>专家决定：____________________________________________________________</w:t>
      </w:r>
    </w:p>
    <w:p>
      <w:pPr>
        <w:keepNext/>
        <w:spacing w:before="80" w:after="40"/>
      </w:pPr>
      <w:r>
        <w:rPr>
          <w:b/>
          <w:color w:val="164060"/>
        </w:rPr>
        <w:t>S04  固定注视协议  [P0]</w:t>
      </w:r>
    </w:p>
    <w:p>
      <w:pPr>
        <w:keepNext/>
        <w:spacing w:after="20"/>
        <w:ind w:left="227"/>
      </w:pPr>
      <w:r>
        <w:rPr>
          <w:b/>
        </w:rPr>
        <w:t>需专家明确：</w:t>
      </w:r>
      <w:r>
        <w:t>确认注视距离、目标位置与大小、是否允许闪烁、每次持续时间和重复次数；区分看屏幕目标与看相机附近光源。</w:t>
      </w:r>
    </w:p>
    <w:p>
      <w:pPr>
        <w:keepLines/>
        <w:spacing w:after="100"/>
        <w:ind w:left="227"/>
      </w:pPr>
      <w:r>
        <w:rPr>
          <w:color w:val="697077"/>
          <w:sz w:val="17"/>
        </w:rPr>
        <w:t>专家决定：____________________________________________________________</w:t>
      </w:r>
    </w:p>
    <w:p>
      <w:pPr>
        <w:keepNext/>
        <w:spacing w:before="80" w:after="40"/>
      </w:pPr>
      <w:r>
        <w:rPr>
          <w:b/>
          <w:color w:val="164060"/>
        </w:rPr>
        <w:t>S05  遮盖任务协议  [P0]</w:t>
      </w:r>
    </w:p>
    <w:p>
      <w:pPr>
        <w:keepNext/>
        <w:spacing w:after="20"/>
        <w:ind w:left="227"/>
      </w:pPr>
      <w:r>
        <w:rPr>
          <w:b/>
        </w:rPr>
        <w:t>需专家明确：</w:t>
      </w:r>
      <w:r>
        <w:t>确认遮盖材料、每眼遮盖与开放时间、次序、是否保持目标注视、动作时间如何同步；规定遮盖时被遮眼不可见的预期状态及重新注视观察窗。</w:t>
      </w:r>
    </w:p>
    <w:p>
      <w:pPr>
        <w:keepLines/>
        <w:spacing w:after="100"/>
        <w:ind w:left="227"/>
      </w:pPr>
      <w:r>
        <w:rPr>
          <w:color w:val="697077"/>
          <w:sz w:val="17"/>
        </w:rPr>
        <w:t>专家决定：____________________________________________________________</w:t>
      </w:r>
    </w:p>
    <w:p>
      <w:pPr>
        <w:keepNext/>
        <w:spacing w:before="80" w:after="40"/>
      </w:pPr>
      <w:r>
        <w:rPr>
          <w:b/>
          <w:color w:val="164060"/>
        </w:rPr>
        <w:t>S06  追随任务协议  [P1]</w:t>
      </w:r>
    </w:p>
    <w:p>
      <w:pPr>
        <w:keepNext/>
        <w:spacing w:after="20"/>
        <w:ind w:left="227"/>
      </w:pPr>
      <w:r>
        <w:rPr>
          <w:b/>
        </w:rPr>
        <w:t>需专家明确：</w:t>
      </w:r>
      <w:r>
        <w:t>规定水平、垂直、斜向的目标视角幅度、速度、周期和重复次数；明确头部是否固定以及随年龄调整的条件。</w:t>
      </w:r>
    </w:p>
    <w:p>
      <w:pPr>
        <w:keepLines/>
        <w:spacing w:after="100"/>
        <w:ind w:left="227"/>
      </w:pPr>
      <w:r>
        <w:rPr>
          <w:color w:val="697077"/>
          <w:sz w:val="17"/>
        </w:rPr>
        <w:t>专家决定：____________________________________________________________</w:t>
      </w:r>
    </w:p>
    <w:p>
      <w:pPr>
        <w:keepNext/>
        <w:spacing w:before="80" w:after="40"/>
      </w:pPr>
      <w:r>
        <w:rPr>
          <w:b/>
          <w:color w:val="164060"/>
        </w:rPr>
        <w:t>S07  反光点形成与验真  [P0]</w:t>
      </w:r>
    </w:p>
    <w:p>
      <w:pPr>
        <w:keepNext/>
        <w:spacing w:after="20"/>
        <w:ind w:left="227"/>
      </w:pPr>
      <w:r>
        <w:rPr>
          <w:b/>
        </w:rPr>
        <w:t>需专家明确：</w:t>
      </w:r>
      <w:r>
        <w:t>确认是否需同轴或已知位置的点光源；制定瞳孔中心和第一浦肯野反光点的人工标注规范，标记屏幕、眼镜及环境杂散反光；给出定位误差和有效帧比例要求。</w:t>
      </w:r>
    </w:p>
    <w:p>
      <w:pPr>
        <w:keepLines/>
        <w:spacing w:after="100"/>
        <w:ind w:left="227"/>
      </w:pPr>
      <w:r>
        <w:rPr>
          <w:color w:val="697077"/>
          <w:sz w:val="17"/>
        </w:rPr>
        <w:t>专家决定：____________________________________________________________</w:t>
      </w:r>
    </w:p>
    <w:p>
      <w:pPr>
        <w:keepNext/>
        <w:spacing w:before="80" w:after="40"/>
      </w:pPr>
      <w:r>
        <w:rPr>
          <w:b/>
          <w:color w:val="164060"/>
        </w:rPr>
        <w:t>S08  相机几何与个体偏心  [P0]</w:t>
      </w:r>
    </w:p>
    <w:p>
      <w:pPr>
        <w:keepNext/>
        <w:spacing w:after="20"/>
        <w:ind w:left="227"/>
      </w:pPr>
      <w:r>
        <w:rPr>
          <w:b/>
        </w:rPr>
        <w:t>需专家明确：</w:t>
      </w:r>
      <w:r>
        <w:t>定义相机内参、裁切和畸变、光源相对相机位置、头姿、工作距离的标定方法；决定如何测或控制角膜反光与视轴的个体偏心，是否逐人校准。</w:t>
      </w:r>
    </w:p>
    <w:p>
      <w:pPr>
        <w:keepLines/>
        <w:spacing w:after="100"/>
        <w:ind w:left="227"/>
      </w:pPr>
      <w:r>
        <w:rPr>
          <w:color w:val="697077"/>
          <w:sz w:val="17"/>
        </w:rPr>
        <w:t>专家决定：____________________________________________________________</w:t>
      </w:r>
    </w:p>
    <w:p>
      <w:pPr>
        <w:keepNext/>
        <w:spacing w:before="80" w:after="40"/>
      </w:pPr>
      <w:r>
        <w:rPr>
          <w:b/>
          <w:color w:val="164060"/>
        </w:rPr>
        <w:t>S09  光学量与棱镜度关系  [P0]</w:t>
      </w:r>
    </w:p>
    <w:p>
      <w:pPr>
        <w:keepNext/>
        <w:spacing w:after="20"/>
        <w:ind w:left="227"/>
      </w:pPr>
      <w:r>
        <w:rPr>
          <w:b/>
        </w:rPr>
        <w:t>需专家明确：</w:t>
      </w:r>
      <w:r>
        <w:t>决定研究终点只做异常筛查，还是估计眼位角／棱镜度；如估计，要求与临床三棱镜结果建立标定及误差界，不得直接用虹膜直径比例换算。</w:t>
      </w:r>
    </w:p>
    <w:p>
      <w:pPr>
        <w:keepLines/>
        <w:spacing w:after="100"/>
        <w:ind w:left="227"/>
      </w:pPr>
      <w:r>
        <w:rPr>
          <w:color w:val="697077"/>
          <w:sz w:val="17"/>
        </w:rPr>
        <w:t>专家决定：____________________________________________________________</w:t>
      </w:r>
    </w:p>
    <w:p>
      <w:pPr>
        <w:keepNext/>
        <w:spacing w:before="80" w:after="40"/>
      </w:pPr>
      <w:r>
        <w:rPr>
          <w:b/>
          <w:color w:val="164060"/>
        </w:rPr>
        <w:t>S10  斜视判读单位和标签  [P0]</w:t>
      </w:r>
    </w:p>
    <w:p>
      <w:pPr>
        <w:keepNext/>
        <w:spacing w:after="20"/>
        <w:ind w:left="227"/>
      </w:pPr>
      <w:r>
        <w:rPr>
          <w:b/>
        </w:rPr>
        <w:t>需专家明确：</w:t>
      </w:r>
      <w:r>
        <w:t>明确单眼、双眼、事件、任务、受试者层级的聚合规则；临床阴性、疑似、阳性和无法判定的定义，间歇性斜视如何标注。</w:t>
      </w:r>
    </w:p>
    <w:p>
      <w:pPr>
        <w:keepLines/>
        <w:spacing w:after="100"/>
        <w:ind w:left="227"/>
      </w:pPr>
      <w:r>
        <w:rPr>
          <w:color w:val="697077"/>
          <w:sz w:val="17"/>
        </w:rPr>
        <w:t>专家决定：____________________________________________________________</w:t>
      </w:r>
    </w:p>
    <w:p>
      <w:pPr>
        <w:keepNext/>
        <w:spacing w:before="80" w:after="40"/>
      </w:pPr>
      <w:r>
        <w:rPr>
          <w:b/>
          <w:color w:val="164060"/>
        </w:rPr>
        <w:t>S11  原型工程阈值复核  [P0]</w:t>
      </w:r>
    </w:p>
    <w:p>
      <w:pPr>
        <w:keepNext/>
        <w:spacing w:after="20"/>
        <w:ind w:left="227"/>
      </w:pPr>
      <w:r>
        <w:rPr>
          <w:b/>
        </w:rPr>
        <w:t>需专家明确：</w:t>
      </w:r>
      <w:r>
        <w:t>逐项决定是否保留、重估或废弃：固定注视水平差 ≥0.15 虹膜直径；解除遮盖后位移 ≥max(0.12 虹膜直径，3 倍噪声)；追随速度相关 &lt;0.3；固定和遮盖同时异常判高风险。</w:t>
      </w:r>
    </w:p>
    <w:p>
      <w:pPr>
        <w:keepLines/>
        <w:spacing w:after="100"/>
        <w:ind w:left="227"/>
      </w:pPr>
      <w:r>
        <w:rPr>
          <w:color w:val="697077"/>
          <w:sz w:val="17"/>
        </w:rPr>
        <w:t>专家决定：____________________________________________________________</w:t>
      </w:r>
    </w:p>
    <w:p>
      <w:pPr>
        <w:keepNext/>
        <w:spacing w:before="80" w:after="40"/>
      </w:pPr>
      <w:r>
        <w:rPr>
          <w:b/>
          <w:color w:val="164060"/>
        </w:rPr>
        <w:t>S12  设备与人群失效模式  [P1]</w:t>
      </w:r>
    </w:p>
    <w:p>
      <w:pPr>
        <w:keepNext/>
        <w:spacing w:after="20"/>
        <w:ind w:left="227"/>
      </w:pPr>
      <w:r>
        <w:rPr>
          <w:b/>
        </w:rPr>
        <w:t>需专家明确：</w:t>
      </w:r>
      <w:r>
        <w:t>制定戴镜高反光、深色虹膜、角膜疾病、眼睑遮挡、睫毛、眼震、头姿偏转、弱视或注视不稳的分层评价与拒判标准。</w:t>
      </w:r>
    </w:p>
    <w:p>
      <w:pPr>
        <w:keepLines/>
        <w:spacing w:after="100"/>
        <w:ind w:left="227"/>
      </w:pPr>
      <w:r>
        <w:rPr>
          <w:color w:val="697077"/>
          <w:sz w:val="17"/>
        </w:rPr>
        <w:t>专家决定：____________________________________________________________</w:t>
      </w:r>
    </w:p>
    <w:p>
      <w:pPr>
        <w:pStyle w:val="Heading1"/>
      </w:pPr>
      <w:r>
        <w:t>四 标签 模型与临床验证</w:t>
      </w:r>
    </w:p>
    <w:p>
      <w:pPr>
        <w:keepNext/>
        <w:spacing w:before="80" w:after="40"/>
      </w:pPr>
      <w:r>
        <w:rPr>
          <w:b/>
          <w:color w:val="164060"/>
        </w:rPr>
        <w:t>V01  风险三级的临床含义  [P0]</w:t>
      </w:r>
    </w:p>
    <w:p>
      <w:pPr>
        <w:keepNext/>
        <w:spacing w:after="20"/>
        <w:ind w:left="227"/>
      </w:pPr>
      <w:r>
        <w:rPr>
          <w:b/>
        </w:rPr>
        <w:t>需专家明确：</w:t>
      </w:r>
      <w:r>
        <w:t>分别规定低、中、高对应的参考检查结果区间、漏诊容忍度与复查时限；若数据不足，先用“需复核／暂未提示异常／无法评估”。</w:t>
      </w:r>
    </w:p>
    <w:p>
      <w:pPr>
        <w:keepLines/>
        <w:spacing w:after="100"/>
        <w:ind w:left="227"/>
      </w:pPr>
      <w:r>
        <w:rPr>
          <w:color w:val="697077"/>
          <w:sz w:val="17"/>
        </w:rPr>
        <w:t>专家决定：____________________________________________________________</w:t>
      </w:r>
    </w:p>
    <w:p>
      <w:pPr>
        <w:keepNext/>
        <w:spacing w:before="80" w:after="40"/>
      </w:pPr>
      <w:r>
        <w:rPr>
          <w:b/>
          <w:color w:val="164060"/>
        </w:rPr>
        <w:t>V02  专家判定与分歧处理  [P0]</w:t>
      </w:r>
    </w:p>
    <w:p>
      <w:pPr>
        <w:keepNext/>
        <w:spacing w:after="20"/>
        <w:ind w:left="227"/>
      </w:pPr>
      <w:r>
        <w:rPr>
          <w:b/>
        </w:rPr>
        <w:t>需专家明确：</w:t>
      </w:r>
      <w:r>
        <w:t>指定至少几名独立判读者、是否盲于手机结果、分歧如何仲裁、诊断依据的结构化记录；禁止用手机规则结果反向生成训练标签。</w:t>
      </w:r>
    </w:p>
    <w:p>
      <w:pPr>
        <w:keepLines/>
        <w:spacing w:after="100"/>
        <w:ind w:left="227"/>
      </w:pPr>
      <w:r>
        <w:rPr>
          <w:color w:val="697077"/>
          <w:sz w:val="17"/>
        </w:rPr>
        <w:t>专家决定：____________________________________________________________</w:t>
      </w:r>
    </w:p>
    <w:p>
      <w:pPr>
        <w:keepNext/>
        <w:spacing w:before="80" w:after="40"/>
      </w:pPr>
      <w:r>
        <w:rPr>
          <w:b/>
          <w:color w:val="164060"/>
        </w:rPr>
        <w:t>V03  数据集组成  [P0]</w:t>
      </w:r>
    </w:p>
    <w:p>
      <w:pPr>
        <w:keepNext/>
        <w:spacing w:after="20"/>
        <w:ind w:left="227"/>
      </w:pPr>
      <w:r>
        <w:rPr>
          <w:b/>
        </w:rPr>
        <w:t>需专家明确：</w:t>
      </w:r>
      <w:r>
        <w:t>给出每病种阳性和阴性、不同严重程度、边界病例、不同年龄和设备的最低样本目标；应由预期用途、患病率与目标置信区间计算正式样本量。</w:t>
      </w:r>
    </w:p>
    <w:p>
      <w:pPr>
        <w:keepLines/>
        <w:spacing w:after="100"/>
        <w:ind w:left="227"/>
      </w:pPr>
      <w:r>
        <w:rPr>
          <w:color w:val="697077"/>
          <w:sz w:val="17"/>
        </w:rPr>
        <w:t>专家决定：____________________________________________________________</w:t>
      </w:r>
    </w:p>
    <w:p>
      <w:pPr>
        <w:keepNext/>
        <w:spacing w:before="80" w:after="40"/>
      </w:pPr>
      <w:r>
        <w:rPr>
          <w:b/>
          <w:color w:val="164060"/>
        </w:rPr>
        <w:t>V04  分割和防泄漏  [P0]</w:t>
      </w:r>
    </w:p>
    <w:p>
      <w:pPr>
        <w:keepNext/>
        <w:spacing w:after="20"/>
        <w:ind w:left="227"/>
      </w:pPr>
      <w:r>
        <w:rPr>
          <w:b/>
        </w:rPr>
        <w:t>需专家明确：</w:t>
      </w:r>
      <w:r>
        <w:t>同一受试者所有重复测试只进入一个数据集；预先确定开发集、锁定测试集和跨设备／跨机构外部验证集，避免按帧随机分割。</w:t>
      </w:r>
    </w:p>
    <w:p>
      <w:pPr>
        <w:keepLines/>
        <w:spacing w:after="100"/>
        <w:ind w:left="227"/>
      </w:pPr>
      <w:r>
        <w:rPr>
          <w:color w:val="697077"/>
          <w:sz w:val="17"/>
        </w:rPr>
        <w:t>专家决定：____________________________________________________________</w:t>
      </w:r>
    </w:p>
    <w:p>
      <w:pPr>
        <w:keepNext/>
        <w:spacing w:before="80" w:after="40"/>
      </w:pPr>
      <w:r>
        <w:rPr>
          <w:b/>
          <w:color w:val="164060"/>
        </w:rPr>
        <w:t>V05  临床性能验收  [P0]</w:t>
      </w:r>
    </w:p>
    <w:p>
      <w:pPr>
        <w:keepNext/>
        <w:spacing w:after="20"/>
        <w:ind w:left="227"/>
      </w:pPr>
      <w:r>
        <w:rPr>
          <w:b/>
        </w:rPr>
        <w:t>需专家明确：</w:t>
      </w:r>
      <w:r>
        <w:t>分别确定敏感度、特异度、阳性／阴性预测值、置信区间、无法评估率、可完成率、测试耗时、复测率及各亚组的最低要求。</w:t>
      </w:r>
    </w:p>
    <w:p>
      <w:pPr>
        <w:keepLines/>
        <w:spacing w:after="100"/>
        <w:ind w:left="227"/>
      </w:pPr>
      <w:r>
        <w:rPr>
          <w:color w:val="697077"/>
          <w:sz w:val="17"/>
        </w:rPr>
        <w:t>专家决定：____________________________________________________________</w:t>
      </w:r>
    </w:p>
    <w:p>
      <w:pPr>
        <w:keepNext/>
        <w:spacing w:before="80" w:after="40"/>
      </w:pPr>
      <w:r>
        <w:rPr>
          <w:b/>
          <w:color w:val="164060"/>
        </w:rPr>
        <w:t>V06  测量学性能验收  [P0]</w:t>
      </w:r>
    </w:p>
    <w:p>
      <w:pPr>
        <w:keepNext/>
        <w:spacing w:after="20"/>
        <w:ind w:left="227"/>
      </w:pPr>
      <w:r>
        <w:rPr>
          <w:b/>
        </w:rPr>
        <w:t>需专家明确：</w:t>
      </w:r>
      <w:r>
        <w:t>定义距屏测量、视标角尺寸、瞳孔及反光点定位、头姿、事件时间戳的参考设备与误差限；报告同人重复性和不同操作者一致性。</w:t>
      </w:r>
    </w:p>
    <w:p>
      <w:pPr>
        <w:keepLines/>
        <w:spacing w:after="100"/>
        <w:ind w:left="227"/>
      </w:pPr>
      <w:r>
        <w:rPr>
          <w:color w:val="697077"/>
          <w:sz w:val="17"/>
        </w:rPr>
        <w:t>专家决定：____________________________________________________________</w:t>
      </w:r>
    </w:p>
    <w:p>
      <w:pPr>
        <w:keepNext/>
        <w:spacing w:before="80" w:after="40"/>
      </w:pPr>
      <w:r>
        <w:rPr>
          <w:b/>
          <w:color w:val="164060"/>
        </w:rPr>
        <w:t>V07  误判处置与上线边界  [P1]</w:t>
      </w:r>
    </w:p>
    <w:p>
      <w:pPr>
        <w:keepNext/>
        <w:spacing w:after="20"/>
        <w:ind w:left="227"/>
      </w:pPr>
      <w:r>
        <w:rPr>
          <w:b/>
        </w:rPr>
        <w:t>需专家明确：</w:t>
      </w:r>
      <w:r>
        <w:t>定义低风险但临床阳性的逐例复盘、未覆盖病种提示、医生复核入口及模型更新再验证；明确研究版与实际临床使用版的分界。</w:t>
      </w:r>
    </w:p>
    <w:p>
      <w:pPr>
        <w:keepLines/>
        <w:spacing w:after="100"/>
        <w:ind w:left="227"/>
      </w:pPr>
      <w:r>
        <w:rPr>
          <w:color w:val="697077"/>
          <w:sz w:val="17"/>
        </w:rPr>
        <w:t>专家决定：____________________________________________________________</w:t>
      </w:r>
    </w:p>
    <w:p>
      <w:pPr>
        <w:pStyle w:val="Heading1"/>
      </w:pPr>
      <w:r>
        <w:t>专家反馈与签署</w:t>
      </w:r>
    </w:p>
    <w:p>
      <w:r>
        <w:t>请在每项后填写意见；若需要另附方案，请标注对应编号。以下信息用于确认版本。</w:t>
      </w:r>
    </w:p>
    <w:p>
      <w:r>
        <w:t>老视负责人及日期：________________________________________________________</w:t>
      </w:r>
    </w:p>
    <w:p>
      <w:r>
        <w:t>斜视负责人及日期：________________________________________________________</w:t>
      </w:r>
    </w:p>
    <w:p>
      <w:r>
        <w:t>共同标准及临床试验负责人：________________________________________________</w:t>
      </w:r>
    </w:p>
    <w:p>
      <w:r>
        <w:t>尚未解决且影响启动采集的问题：____________________________________________</w:t>
      </w:r>
    </w:p>
    <w:p>
      <w:pPr>
        <w:pStyle w:val="Heading1"/>
      </w:pPr>
      <w:r>
        <w:t>依据</w:t>
      </w:r>
    </w:p>
    <w:p>
      <w:pPr>
        <w:spacing w:after="40"/>
      </w:pPr>
      <w:r>
        <w:rPr>
          <w:sz w:val="16"/>
        </w:rPr>
        <w:t>项目原始文件：《智能眼科-整合9.18》，第 4、6、9、17、20、27、29 段及研究内容二、三（项目内部文档）。</w:t>
      </w:r>
    </w:p>
    <w:p>
      <w:pPr>
        <w:spacing w:after="40"/>
      </w:pPr>
      <w:r>
        <w:rPr>
          <w:sz w:val="16"/>
        </w:rPr>
        <w:t>当前原型：docs/老视斜视测试原型.md；backend/README.md，版本 research-rules-2（项目内部文件）。</w:t>
      </w:r>
    </w:p>
    <w:p>
      <w:pPr>
        <w:spacing w:after="40"/>
      </w:pPr>
      <w:r>
        <w:rPr>
          <w:sz w:val="16"/>
        </w:rPr>
        <w:t>AAO EyeWiki, Presbyopia: https://eyewiki.aao.org/Presbyopia</w:t>
      </w:r>
    </w:p>
    <w:p>
      <w:pPr>
        <w:spacing w:after="40"/>
      </w:pPr>
      <w:r>
        <w:rPr>
          <w:sz w:val="16"/>
        </w:rPr>
        <w:t>AAPOS, Strabismus Measurements: https://aapos.org/glossary/strabismus-measurements</w:t>
      </w:r>
    </w:p>
    <w:p>
      <w:pPr>
        <w:spacing w:after="40"/>
      </w:pPr>
      <w:r>
        <w:rPr>
          <w:sz w:val="16"/>
        </w:rPr>
        <w:t>Ostrin LA, Glasser A. Accommodation measurements in a prepresbyopic and presbyopic population. J Cataract Refract Surg. 2004. PMID: 15210220.</w:t>
      </w:r>
    </w:p>
    <w:p>
      <w:pPr>
        <w:spacing w:after="40"/>
      </w:pPr>
      <w:r>
        <w:rPr>
          <w:sz w:val="16"/>
        </w:rPr>
        <w:t>IMDRF, Software as a Medical Device Clinical Evaluation (N41, 2017): https://www.imdrf.org/documents/software-medical-device-samd-clinical-evaluation</w:t>
      </w:r>
    </w:p>
    <w:sectPr w:rsidR="00FC693F" w:rsidRPr="0006063C" w:rsidSect="00034616">
      <w:footerReference w:type="default" r:id="rId9"/>
      <w:pgSz w:w="12240" w:h="15840"/>
      <w:pgMar w:top="1219" w:right="1191" w:bottom="1162" w:left="1247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818A"/>
        <w:sz w:val="16"/>
      </w:rPr>
      <w:t>老视与斜视手机初筛临床标准待确认需求  |  待专家确认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8" w:lineRule="auto"/>
    </w:pPr>
    <w:rPr>
      <w:rFonts w:ascii="Microsoft YaHei" w:hAnsi="Microsoft YaHei" w:eastAsia="Microsoft YaHei"/>
      <w:color w:val="222B35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6406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6406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 w:before="0"/>
      <w:contextualSpacing/>
      <w:pBdr>
        <w:bottom w:val="nil"/>
      </w:pBdr>
    </w:pPr>
    <w:rPr>
      <w:rFonts w:asciiTheme="majorHAnsi" w:eastAsiaTheme="majorEastAsia" w:hAnsiTheme="majorHAnsi" w:cstheme="majorBidi" w:ascii="Microsoft YaHei" w:hAnsi="Microsoft YaHei" w:eastAsia="Microsoft YaHei"/>
      <w:b/>
      <w:color w:val="162A3E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