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人工合成测试样本 / Synthetic fixture</w:t>
      </w:r>
    </w:p>
    <w:p>
      <w:r>
        <w:t>这是正常正文，不是已确认带 textGrain 的 GPT 输出。</w:t>
      </w:r>
    </w:p>
    <w:p>
      <w:r>
        <w:t>字符清理：零宽空格、词连接符、字节序标记、软连字符。</w:t>
      </w:r>
    </w:p>
    <w:p>
      <w:r>
        <w:t>正常连接符保留：👩‍💻 / فارسی‌。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内容</w:t>
            </w:r>
          </w:p>
        </w:tc>
        <w:tc>
          <w:tcPr>
            <w:tcW w:type="dxa" w:w="4320"/>
          </w:tcPr>
          <w:p>
            <w:r>
              <w:t>不改写</w:t>
            </w:r>
          </w:p>
        </w:tc>
      </w:tr>
    </w:tbl>
    <w:sectPr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页眉候选字符：应仅去字符并保留页眉。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