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Selected Analysis and Why:</w:t>
      </w:r>
    </w:p>
    <w:p>
      <w:pPr>
        <w:pStyle w:val="Normal"/>
        <w:bidi w:val="0"/>
        <w:jc w:val="start"/>
        <w:rPr/>
      </w:pPr>
      <w:r>
        <w:rPr/>
      </w:r>
    </w:p>
    <w:p>
      <w:pPr>
        <w:pStyle w:val="Normal"/>
        <w:bidi w:val="0"/>
        <w:jc w:val="start"/>
        <w:rPr/>
      </w:pPr>
      <w:r>
        <w:rPr/>
        <w:tab/>
        <w:t>To go further than the core/pan-genome analysis, I wanted to do two additional analyses on the 9 filtered genomes: prophage detection and antimicrobial resistance gene screening. Prophage detection is interesting because integrated prophages can encode tail fiber proteins or can modify outer membrane receptors. That can influence STV18 host range. AMR screening was selected to characterize the landscape of resistance in the serovar panel, which can be helpful for phage therapy applications.</w:t>
      </w:r>
    </w:p>
    <w:p>
      <w:pPr>
        <w:pStyle w:val="Normal"/>
        <w:bidi w:val="0"/>
        <w:jc w:val="start"/>
        <w:rPr/>
      </w:pPr>
      <w:r>
        <w:rPr/>
      </w:r>
    </w:p>
    <w:p>
      <w:pPr>
        <w:pStyle w:val="Normal"/>
        <w:bidi w:val="0"/>
        <w:jc w:val="start"/>
        <w:rPr/>
      </w:pPr>
      <w:r>
        <w:rPr/>
      </w:r>
    </w:p>
    <w:p>
      <w:pPr>
        <w:pStyle w:val="Normal"/>
        <w:bidi w:val="0"/>
        <w:jc w:val="start"/>
        <w:rPr>
          <w:b/>
          <w:bCs/>
        </w:rPr>
      </w:pPr>
      <w:r>
        <w:rPr>
          <w:b/>
          <w:bCs/>
        </w:rPr>
        <w:t>Analysis Report:</w:t>
      </w:r>
    </w:p>
    <w:p>
      <w:pPr>
        <w:pStyle w:val="Normal"/>
        <w:bidi w:val="0"/>
        <w:jc w:val="start"/>
        <w:rPr/>
      </w:pPr>
      <w:r>
        <w:rPr/>
      </w:r>
    </w:p>
    <w:p>
      <w:pPr>
        <w:pStyle w:val="Normal"/>
        <w:bidi w:val="0"/>
        <w:jc w:val="start"/>
        <w:rPr/>
      </w:pPr>
      <w:r>
        <w:rPr/>
        <w:tab/>
        <w:t xml:space="preserve">The analysis was done using Phispy and ABRicate. The results from prophage detection identified between 2 and 9 integrated prophage regions per genome, with a total of 50 prophage regions across all 9 serovars; the most was found by </w:t>
      </w:r>
      <w:r>
        <w:rPr>
          <w:i/>
          <w:iCs/>
        </w:rPr>
        <w:t>S. Heidelberg</w:t>
      </w:r>
      <w:r>
        <w:rPr>
          <w:i w:val="false"/>
          <w:iCs w:val="false"/>
        </w:rPr>
        <w:t xml:space="preserve">, </w:t>
      </w:r>
      <w:r>
        <w:rPr>
          <w:i w:val="false"/>
          <w:iCs w:val="false"/>
        </w:rPr>
        <w:t xml:space="preserve">with a total of 9 regions, and the lowest was from </w:t>
      </w:r>
      <w:r>
        <w:rPr>
          <w:i/>
          <w:iCs/>
        </w:rPr>
        <w:t>S. Agona</w:t>
      </w:r>
      <w:r>
        <w:rPr>
          <w:i w:val="false"/>
          <w:iCs w:val="false"/>
        </w:rPr>
        <w:t>, with 2 identified. With regions found across all serovars, there may be a possibility that prophage-encoded proteins effect surface receptor availability, which would influence STV18 susceptibility beyond the results gained from the core genome analysis.</w:t>
      </w:r>
    </w:p>
    <w:p>
      <w:pPr>
        <w:pStyle w:val="Normal"/>
        <w:bidi w:val="0"/>
        <w:jc w:val="start"/>
        <w:rPr/>
      </w:pPr>
      <w:r>
        <w:rPr>
          <w:i w:val="false"/>
          <w:iCs w:val="false"/>
        </w:rPr>
        <w:tab/>
        <w:t xml:space="preserve">AMR screening against the CARD database, showed that all 9 serovars have between 20 and 37 AMR gene hits; </w:t>
      </w:r>
      <w:r>
        <w:rPr>
          <w:i/>
          <w:iCs/>
        </w:rPr>
        <w:t>S. Typhimurium</w:t>
      </w:r>
      <w:r>
        <w:rPr>
          <w:i w:val="false"/>
          <w:iCs w:val="false"/>
        </w:rPr>
        <w:t xml:space="preserve"> had the highest with 37. The heatmap showing drug class distribution should broad resistance across fluoroquinolones, beta-lactams, cephalosporins, and phenicols in all serovars. This information reflects the need to further investigate phage-based alternatives, with the servovars most relevant to humans carrying broad, multi-class antibiotic resistance. This is where utilizing the consensus candidates from the core/pan-genome analysis has it’s applications.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1</Pages>
  <Words>247</Words>
  <Characters>1441</Characters>
  <CharactersWithSpaces>1686</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2026-04-21T21:55:07Z</dcterms:created>
  <dc:creator/>
  <dc:description/>
  <dc:language>en-US</dc:language>
  <cp:lastModifiedBy/>
  <dcterms:modified xsi:type="dcterms:W3CDTF">2026-04-21T22:20:37Z</dcterms:modified>
  <cp:revision>1</cp:revision>
  <dc:subject/>
  <dc:title/>
</cp:coreProperties>
</file>