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sz w:val="30"/>
          <w:szCs w:val="30"/>
        </w:rPr>
        <w:t>Summary Output:</w:t>
      </w:r>
      <w:r>
        <w:rPr/>
        <w:br/>
      </w:r>
    </w:p>
    <w:p>
      <w:pPr>
        <w:pStyle w:val="Normal"/>
        <w:bidi w:val="0"/>
        <w:jc w:val="start"/>
        <w:rPr/>
      </w:pPr>
      <w:r>
        <w:rPr>
          <w:sz w:val="16"/>
          <w:szCs w:val="16"/>
        </w:rPr>
        <w:t>Genome ID                              Contigs     Size(bp)    GC%  CodDen     CDS   Known       Hypo    Hypo%  Pseudo  tRNA  rRNA  CRISPR  sORF</w:t>
      </w:r>
    </w:p>
    <w:p>
      <w:pPr>
        <w:pStyle w:val="Normal"/>
        <w:bidi w:val="0"/>
        <w:jc w:val="start"/>
        <w:rPr>
          <w:sz w:val="16"/>
          <w:szCs w:val="16"/>
        </w:rPr>
      </w:pPr>
      <w:r>
        <w:rPr>
          <w:sz w:val="16"/>
          <w:szCs w:val="16"/>
        </w:rPr>
        <w:t>------------------------------------------------------------------------------------------------------------------------------------------------</w:t>
      </w:r>
    </w:p>
    <w:p>
      <w:pPr>
        <w:pStyle w:val="Normal"/>
        <w:bidi w:val="0"/>
        <w:jc w:val="start"/>
        <w:rPr>
          <w:sz w:val="16"/>
          <w:szCs w:val="16"/>
        </w:rPr>
      </w:pPr>
      <w:r>
        <w:rPr>
          <w:sz w:val="16"/>
          <w:szCs w:val="16"/>
        </w:rPr>
        <w:t>GCF_000007545.1_ASM754v1_genomic             1      4791961   52.1    88.4    4618    4132        486    10.5%       0    80    22       1     7</w:t>
      </w:r>
    </w:p>
    <w:p>
      <w:pPr>
        <w:pStyle w:val="Normal"/>
        <w:bidi w:val="0"/>
        <w:jc w:val="start"/>
        <w:rPr>
          <w:sz w:val="16"/>
          <w:szCs w:val="16"/>
        </w:rPr>
      </w:pPr>
      <w:r>
        <w:rPr>
          <w:sz w:val="16"/>
          <w:szCs w:val="16"/>
        </w:rPr>
        <w:t>GCF_000020745.1_ASM2074v1_genomic            3      4823887   52.2    88.7    4533    4270        263     5.8%       0    86    22       2     8</w:t>
      </w:r>
    </w:p>
    <w:p>
      <w:pPr>
        <w:pStyle w:val="Normal"/>
        <w:bidi w:val="0"/>
        <w:jc w:val="start"/>
        <w:rPr>
          <w:sz w:val="16"/>
          <w:szCs w:val="16"/>
        </w:rPr>
      </w:pPr>
      <w:r>
        <w:rPr>
          <w:sz w:val="16"/>
          <w:szCs w:val="16"/>
        </w:rPr>
        <w:t>GCF_000020885.1_ASM2088v1_genomic            2      4836638   52.0    88.7    4496    4226        270     6.0%       0    86    22       2     8</w:t>
      </w:r>
    </w:p>
    <w:p>
      <w:pPr>
        <w:pStyle w:val="Normal"/>
        <w:bidi w:val="0"/>
        <w:jc w:val="start"/>
        <w:rPr>
          <w:sz w:val="16"/>
          <w:szCs w:val="16"/>
        </w:rPr>
      </w:pPr>
      <w:r>
        <w:rPr>
          <w:sz w:val="16"/>
          <w:szCs w:val="16"/>
        </w:rPr>
        <w:t>GCF_000020925.1_ASM2092v1_genomic            2      4917459   52.1    88.6    4669    4326        343     7.3%       0    86    22       0     9</w:t>
      </w:r>
    </w:p>
    <w:p>
      <w:pPr>
        <w:pStyle w:val="Normal"/>
        <w:bidi w:val="0"/>
        <w:jc w:val="start"/>
        <w:rPr>
          <w:sz w:val="16"/>
          <w:szCs w:val="16"/>
        </w:rPr>
      </w:pPr>
      <w:r>
        <w:rPr>
          <w:sz w:val="16"/>
          <w:szCs w:val="16"/>
        </w:rPr>
        <w:t>GCF_000022165.1_ASM2216v1_genomic            2      4964097   52.2    88.8    4639    4383        256     5.5%       0    88    22       2     9</w:t>
      </w:r>
    </w:p>
    <w:p>
      <w:pPr>
        <w:pStyle w:val="Normal"/>
        <w:bidi w:val="0"/>
        <w:jc w:val="start"/>
        <w:rPr>
          <w:sz w:val="16"/>
          <w:szCs w:val="16"/>
        </w:rPr>
      </w:pPr>
      <w:r>
        <w:rPr>
          <w:sz w:val="16"/>
          <w:szCs w:val="16"/>
        </w:rPr>
        <w:t>GCF_000170215.1_ASM17021v1_genomic           2      4726474   52.3    88.9    4336    4143        193     4.5%       0    80    22       2    10</w:t>
      </w:r>
    </w:p>
    <w:p>
      <w:pPr>
        <w:pStyle w:val="Normal"/>
        <w:bidi w:val="0"/>
        <w:jc w:val="start"/>
        <w:rPr>
          <w:sz w:val="16"/>
          <w:szCs w:val="16"/>
        </w:rPr>
      </w:pPr>
      <w:r>
        <w:rPr>
          <w:sz w:val="16"/>
          <w:szCs w:val="16"/>
        </w:rPr>
        <w:t>GCF_000171415.1_ASM17141v1_genomic          63      4948011   52.1    88.4    4678    4369        309     6.6%       0    65     2       5     9</w:t>
      </w:r>
    </w:p>
    <w:p>
      <w:pPr>
        <w:pStyle w:val="Normal"/>
        <w:bidi w:val="0"/>
        <w:jc w:val="start"/>
        <w:rPr>
          <w:sz w:val="16"/>
          <w:szCs w:val="16"/>
        </w:rPr>
      </w:pPr>
      <w:r>
        <w:rPr>
          <w:sz w:val="16"/>
          <w:szCs w:val="16"/>
        </w:rPr>
        <w:t>GCF_000171515.1_ASM17151v1_genomic          50      4793325   52.3    88.6    4444    4189        255     5.7%       0    85    33       2     9</w:t>
      </w:r>
    </w:p>
    <w:p>
      <w:pPr>
        <w:pStyle w:val="Normal"/>
        <w:bidi w:val="0"/>
        <w:jc w:val="start"/>
        <w:rPr>
          <w:sz w:val="16"/>
          <w:szCs w:val="16"/>
        </w:rPr>
      </w:pPr>
      <w:r>
        <w:rPr>
          <w:sz w:val="16"/>
          <w:szCs w:val="16"/>
        </w:rPr>
        <w:t>GCF_000171535.2_ASM17153v2_genomic           5      4876885   52.1    88.7    4579    4310        269     5.9%       0    86    22       2     9</w:t>
      </w:r>
    </w:p>
    <w:p>
      <w:pPr>
        <w:pStyle w:val="Normal"/>
        <w:bidi w:val="0"/>
        <w:jc w:val="start"/>
        <w:rPr>
          <w:sz w:val="16"/>
          <w:szCs w:val="16"/>
        </w:rPr>
      </w:pPr>
      <w:r>
        <w:rPr>
          <w:sz w:val="16"/>
          <w:szCs w:val="16"/>
        </w:rPr>
        <w:t>------------------------------------------------------------------------------------------------------------------------------------------------</w:t>
      </w:r>
    </w:p>
    <w:p>
      <w:pPr>
        <w:pStyle w:val="Normal"/>
        <w:bidi w:val="0"/>
        <w:jc w:val="start"/>
        <w:rPr>
          <w:sz w:val="16"/>
          <w:szCs w:val="16"/>
        </w:rPr>
      </w:pPr>
      <w:r>
        <w:rPr>
          <w:sz w:val="16"/>
          <w:szCs w:val="16"/>
        </w:rPr>
      </w:r>
    </w:p>
    <w:p>
      <w:pPr>
        <w:pStyle w:val="Normal"/>
        <w:bidi w:val="0"/>
        <w:jc w:val="start"/>
        <w:rPr>
          <w:sz w:val="16"/>
          <w:szCs w:val="16"/>
        </w:rPr>
      </w:pPr>
      <w:r>
        <w:rPr>
          <w:sz w:val="16"/>
          <w:szCs w:val="16"/>
        </w:rPr>
        <w:t>Summary</w:t>
      </w:r>
      <w:r>
        <w:rPr>
          <w:sz w:val="16"/>
          <w:szCs w:val="16"/>
        </w:rPr>
        <w:t xml:space="preserve"> S</w:t>
      </w:r>
      <w:r>
        <w:rPr>
          <w:sz w:val="16"/>
          <w:szCs w:val="16"/>
        </w:rPr>
        <w:t>tatistics</w:t>
      </w:r>
    </w:p>
    <w:p>
      <w:pPr>
        <w:pStyle w:val="Normal"/>
        <w:bidi w:val="0"/>
        <w:jc w:val="start"/>
        <w:rPr>
          <w:sz w:val="16"/>
          <w:szCs w:val="16"/>
        </w:rPr>
      </w:pPr>
      <w:r>
        <w:rPr>
          <w:sz w:val="16"/>
          <w:szCs w:val="16"/>
        </w:rPr>
        <w:t xml:space="preserve">  </w:t>
      </w:r>
      <w:r>
        <w:rPr>
          <w:sz w:val="16"/>
          <w:szCs w:val="16"/>
        </w:rPr>
        <w:t>Genome size range    : 4726474.0 - 4964097.0 bp</w:t>
      </w:r>
    </w:p>
    <w:p>
      <w:pPr>
        <w:pStyle w:val="Normal"/>
        <w:bidi w:val="0"/>
        <w:jc w:val="start"/>
        <w:rPr>
          <w:sz w:val="16"/>
          <w:szCs w:val="16"/>
        </w:rPr>
      </w:pPr>
      <w:r>
        <w:rPr>
          <w:sz w:val="16"/>
          <w:szCs w:val="16"/>
        </w:rPr>
        <w:t xml:space="preserve">  </w:t>
      </w:r>
      <w:r>
        <w:rPr>
          <w:sz w:val="16"/>
          <w:szCs w:val="16"/>
        </w:rPr>
        <w:t>Mean genome size     : 4853193.0 bp</w:t>
      </w:r>
    </w:p>
    <w:p>
      <w:pPr>
        <w:pStyle w:val="Normal"/>
        <w:bidi w:val="0"/>
        <w:jc w:val="start"/>
        <w:rPr>
          <w:sz w:val="16"/>
          <w:szCs w:val="16"/>
        </w:rPr>
      </w:pPr>
      <w:r>
        <w:rPr>
          <w:sz w:val="16"/>
          <w:szCs w:val="16"/>
        </w:rPr>
        <w:t xml:space="preserve">  </w:t>
      </w:r>
      <w:r>
        <w:rPr>
          <w:sz w:val="16"/>
          <w:szCs w:val="16"/>
        </w:rPr>
        <w:t>GC content range     : 52.0 - 52.3 %</w:t>
      </w:r>
    </w:p>
    <w:p>
      <w:pPr>
        <w:pStyle w:val="Normal"/>
        <w:bidi w:val="0"/>
        <w:jc w:val="start"/>
        <w:rPr>
          <w:sz w:val="16"/>
          <w:szCs w:val="16"/>
        </w:rPr>
      </w:pPr>
      <w:r>
        <w:rPr>
          <w:sz w:val="16"/>
          <w:szCs w:val="16"/>
        </w:rPr>
        <w:t xml:space="preserve">  </w:t>
      </w:r>
      <w:r>
        <w:rPr>
          <w:sz w:val="16"/>
          <w:szCs w:val="16"/>
        </w:rPr>
        <w:t>CDS range            : 4336.0 - 4678.0 genes</w:t>
      </w:r>
    </w:p>
    <w:p>
      <w:pPr>
        <w:pStyle w:val="Normal"/>
        <w:bidi w:val="0"/>
        <w:jc w:val="start"/>
        <w:rPr>
          <w:sz w:val="16"/>
          <w:szCs w:val="16"/>
        </w:rPr>
      </w:pPr>
      <w:r>
        <w:rPr>
          <w:sz w:val="16"/>
          <w:szCs w:val="16"/>
        </w:rPr>
        <w:t xml:space="preserve">  </w:t>
      </w:r>
      <w:r>
        <w:rPr>
          <w:sz w:val="16"/>
          <w:szCs w:val="16"/>
        </w:rPr>
        <w:t>Mean CDS / genome    : 4554.7</w:t>
      </w:r>
    </w:p>
    <w:p>
      <w:pPr>
        <w:pStyle w:val="Normal"/>
        <w:bidi w:val="0"/>
        <w:jc w:val="start"/>
        <w:rPr>
          <w:sz w:val="16"/>
          <w:szCs w:val="16"/>
        </w:rPr>
      </w:pPr>
      <w:r>
        <w:rPr>
          <w:sz w:val="16"/>
          <w:szCs w:val="16"/>
        </w:rPr>
        <w:t xml:space="preserve">  </w:t>
      </w:r>
      <w:r>
        <w:rPr>
          <w:sz w:val="16"/>
          <w:szCs w:val="16"/>
        </w:rPr>
        <w:t>Hypothetical range   : 4.5 - 10.5 %</w:t>
      </w:r>
    </w:p>
    <w:p>
      <w:pPr>
        <w:pStyle w:val="Normal"/>
        <w:bidi w:val="0"/>
        <w:jc w:val="start"/>
        <w:rPr>
          <w:sz w:val="16"/>
          <w:szCs w:val="16"/>
        </w:rPr>
      </w:pPr>
      <w:r>
        <w:rPr>
          <w:sz w:val="16"/>
          <w:szCs w:val="16"/>
        </w:rPr>
        <w:t xml:space="preserve">  </w:t>
      </w:r>
      <w:r>
        <w:rPr>
          <w:sz w:val="16"/>
          <w:szCs w:val="16"/>
        </w:rPr>
        <w:t>Mean hypothetical%   : 6.4 %</w:t>
      </w:r>
    </w:p>
    <w:p>
      <w:pPr>
        <w:pStyle w:val="Normal"/>
        <w:bidi w:val="0"/>
        <w:jc w:val="start"/>
        <w:rPr>
          <w:sz w:val="24"/>
          <w:szCs w:val="24"/>
        </w:rPr>
      </w:pPr>
      <w:r>
        <w:rPr>
          <w:sz w:val="24"/>
          <w:szCs w:val="24"/>
        </w:rPr>
      </w:r>
    </w:p>
    <w:p>
      <w:pPr>
        <w:pStyle w:val="Normal"/>
        <w:bidi w:val="0"/>
        <w:jc w:val="start"/>
        <w:rPr>
          <w:b/>
          <w:bCs/>
          <w:sz w:val="30"/>
          <w:szCs w:val="30"/>
        </w:rPr>
      </w:pPr>
      <w:r>
        <w:rPr>
          <w:b/>
          <w:bCs/>
          <w:sz w:val="30"/>
          <w:szCs w:val="30"/>
        </w:rPr>
        <w:t>Genome Annotation Reflection:</w:t>
      </w:r>
    </w:p>
    <w:p>
      <w:pPr>
        <w:pStyle w:val="Normal"/>
        <w:bidi w:val="0"/>
        <w:jc w:val="start"/>
        <w:rPr>
          <w:b/>
          <w:bCs/>
          <w:sz w:val="24"/>
          <w:szCs w:val="24"/>
        </w:rPr>
      </w:pPr>
      <w:r>
        <w:rPr>
          <w:b/>
          <w:bCs/>
          <w:sz w:val="24"/>
          <w:szCs w:val="24"/>
        </w:rPr>
      </w:r>
    </w:p>
    <w:p>
      <w:pPr>
        <w:pStyle w:val="BodyText"/>
        <w:bidi w:val="0"/>
        <w:spacing w:before="0" w:after="140"/>
        <w:jc w:val="start"/>
        <w:rPr/>
      </w:pPr>
      <w:r>
        <w:rPr>
          <w:b w:val="false"/>
          <w:bCs w:val="false"/>
        </w:rPr>
        <w:tab/>
      </w:r>
      <w:r>
        <w:rPr>
          <w:b w:val="false"/>
          <w:bCs w:val="false"/>
          <w:sz w:val="22"/>
          <w:szCs w:val="22"/>
        </w:rPr>
        <w:t xml:space="preserve">Genome annotation of nine </w:t>
      </w:r>
      <w:r>
        <w:rPr>
          <w:rStyle w:val="Emphasis"/>
          <w:b w:val="false"/>
          <w:bCs w:val="false"/>
          <w:sz w:val="22"/>
          <w:szCs w:val="22"/>
        </w:rPr>
        <w:t>Salmonella enterica</w:t>
      </w:r>
      <w:r>
        <w:rPr>
          <w:b w:val="false"/>
          <w:bCs w:val="false"/>
          <w:sz w:val="22"/>
          <w:szCs w:val="22"/>
        </w:rPr>
        <w:t xml:space="preserve"> serovars using Bakta produced a suite of metrics that collectively characterize the functional content and completeness of each assembly. The metrics reported included: total CDS count, hypothetical protein percentage, tRNA and rRNA counts, CRISPR array presence, and genome size. These metrics were selected as Bakta will run all these by default, </w:t>
      </w:r>
      <w:r>
        <w:rPr>
          <w:b w:val="false"/>
          <w:bCs w:val="false"/>
          <w:sz w:val="22"/>
          <w:szCs w:val="22"/>
        </w:rPr>
        <w:t xml:space="preserve">and testing all metrics will be helpful for comparing genomes. </w:t>
      </w:r>
      <w:r>
        <w:rPr>
          <w:sz w:val="22"/>
          <w:szCs w:val="22"/>
        </w:rPr>
        <w:t xml:space="preserve">Genome size and GC content serve as foundational quality indicators. Across the nine assemblies, genome sizes ranged from 4.73 to 4.96 Mb with a GC content between 52.0 and 52.3%, </w:t>
      </w:r>
      <w:r>
        <w:rPr>
          <w:b w:val="false"/>
          <w:bCs w:val="false"/>
          <w:sz w:val="22"/>
          <w:szCs w:val="22"/>
        </w:rPr>
        <w:t xml:space="preserve">both consistent with </w:t>
      </w:r>
      <w:r>
        <w:rPr>
          <w:b w:val="false"/>
          <w:bCs w:val="false"/>
          <w:sz w:val="22"/>
          <w:szCs w:val="22"/>
        </w:rPr>
        <w:t>expected</w:t>
      </w:r>
      <w:r>
        <w:rPr>
          <w:b w:val="false"/>
          <w:bCs w:val="false"/>
          <w:sz w:val="22"/>
          <w:szCs w:val="22"/>
        </w:rPr>
        <w:t xml:space="preserve"> </w:t>
      </w:r>
      <w:r>
        <w:rPr>
          <w:rStyle w:val="Emphasis"/>
          <w:b w:val="false"/>
          <w:bCs w:val="false"/>
          <w:sz w:val="22"/>
          <w:szCs w:val="22"/>
        </w:rPr>
        <w:t>S. enterica</w:t>
      </w:r>
      <w:r>
        <w:rPr>
          <w:b w:val="false"/>
          <w:bCs w:val="false"/>
          <w:sz w:val="22"/>
          <w:szCs w:val="22"/>
        </w:rPr>
        <w:t xml:space="preserve"> </w:t>
      </w:r>
      <w:r>
        <w:rPr>
          <w:b w:val="false"/>
          <w:bCs w:val="false"/>
          <w:sz w:val="22"/>
          <w:szCs w:val="22"/>
        </w:rPr>
        <w:t>genome size ranges</w:t>
      </w:r>
      <w:r>
        <w:rPr>
          <w:sz w:val="22"/>
          <w:szCs w:val="22"/>
        </w:rPr>
        <w:t xml:space="preserve">. </w:t>
        <w:br/>
        <w:tab/>
        <w:t xml:space="preserve">The proportion of hypothetical proteins is </w:t>
      </w:r>
      <w:r>
        <w:rPr>
          <w:sz w:val="22"/>
          <w:szCs w:val="22"/>
        </w:rPr>
        <w:t>one of</w:t>
      </w:r>
      <w:r>
        <w:rPr>
          <w:sz w:val="22"/>
          <w:szCs w:val="22"/>
        </w:rPr>
        <w:t xml:space="preserve"> the most significant metric reported. The mean hypothetical percentage across the nine serovars was 6.4%, but individual values ranged from 4.5% (GCF_000170215) to 10.5% (GCF_000007545). Because these assemblies were originally published in the early 2000s and re-annotated using Bakta against a current database, the hypothetical fractions reported likely underestimate those that would have been observed </w:t>
      </w:r>
      <w:r>
        <w:rPr>
          <w:sz w:val="22"/>
          <w:szCs w:val="22"/>
        </w:rPr>
        <w:t xml:space="preserve">when Fricke et al. published their 2011 comparative analyses; </w:t>
      </w:r>
      <w:r>
        <w:rPr>
          <w:sz w:val="22"/>
          <w:szCs w:val="22"/>
        </w:rPr>
        <w:t>genes that were uncharacterized then may now have database entries.</w:t>
        <w:br/>
        <w:tab/>
        <w:t xml:space="preserve">tRNA and rRNA counts serve as indirect markers of assembly completeness. Most assemblies in this dataset recovered 22 rRNA annotations, consistent with the expected operon count for </w:t>
      </w:r>
      <w:r>
        <w:rPr>
          <w:rStyle w:val="Emphasis"/>
          <w:sz w:val="22"/>
          <w:szCs w:val="22"/>
        </w:rPr>
        <w:t>S. enterica</w:t>
      </w:r>
      <w:r>
        <w:rPr>
          <w:sz w:val="22"/>
          <w:szCs w:val="22"/>
        </w:rPr>
        <w:t xml:space="preserve">. One notable exception is GCF_000171515, which returned 33 rRNA annotations, </w:t>
      </w:r>
      <w:r>
        <w:rPr>
          <w:sz w:val="22"/>
          <w:szCs w:val="22"/>
        </w:rPr>
        <w:t xml:space="preserve">which is </w:t>
      </w:r>
      <w:r>
        <w:rPr>
          <w:sz w:val="22"/>
          <w:szCs w:val="22"/>
        </w:rPr>
        <w:t xml:space="preserve">likely inflated </w:t>
      </w:r>
      <w:r>
        <w:rPr>
          <w:sz w:val="22"/>
          <w:szCs w:val="22"/>
        </w:rPr>
        <w:t xml:space="preserve">due to assemblies being constructed using older sequencing technology and repetitive regions likely being poorly resolved without long-reads to help polish the assembly. </w:t>
      </w:r>
      <w:r>
        <w:rPr>
          <w:sz w:val="22"/>
          <w:szCs w:val="22"/>
        </w:rPr>
        <w:t xml:space="preserve">Similarly, GCF_000171415, the most fragmented assembly with 63 contigs, may have gene counts affected by genes split across </w:t>
      </w:r>
      <w:r>
        <w:rPr>
          <w:sz w:val="22"/>
          <w:szCs w:val="22"/>
        </w:rPr>
        <w:t>fragmented contigs</w:t>
      </w:r>
      <w:r>
        <w:rPr>
          <w:sz w:val="22"/>
          <w:szCs w:val="22"/>
        </w:rPr>
        <w:t>, a known limitation of fragmented assemblies that can slightly distort CDS totals and functional summaries.</w:t>
        <w:br/>
        <w:tab/>
      </w:r>
      <w:r>
        <w:rPr>
          <w:sz w:val="22"/>
          <w:szCs w:val="22"/>
        </w:rPr>
        <w:t xml:space="preserve">CRISPR array counts, which reported 0 to 5 across serovars, mediate phage resistance in </w:t>
      </w:r>
      <w:r>
        <w:rPr>
          <w:i/>
          <w:iCs/>
          <w:sz w:val="22"/>
          <w:szCs w:val="22"/>
        </w:rPr>
        <w:t>Salmonella</w:t>
      </w:r>
      <w:r>
        <w:rPr>
          <w:i w:val="false"/>
          <w:iCs w:val="false"/>
          <w:sz w:val="22"/>
          <w:szCs w:val="22"/>
        </w:rPr>
        <w:t xml:space="preserve">. Interestingly, GCF_000020925 had a CRISPR array count of zero, in theory this might lead this strain to be more suspectible to phages, but as the assemblies are older, this may be due to sequencing or assembly errors. </w:t>
      </w:r>
      <w:r>
        <w:rPr>
          <w:sz w:val="22"/>
          <w:szCs w:val="22"/>
        </w:rPr>
        <w:t>These metrics will directly inform how downstream analyses are interpreted; a serovar with a high hypothetical fraction should be treated with appropriate caution when drawing conclusions from functional annotation alone, and the fragmented assembly of GCF_000171415 should be flagged as a potential source of noise in any analysis sensitive to gene boundary accuracy.</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Pages>
  <Words>591</Words>
  <Characters>3546</Characters>
  <CharactersWithSpaces>4754</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2026-04-05T18:36:21Z</dcterms:created>
  <dc:creator/>
  <dc:description/>
  <dc:language>en-US</dc:language>
  <cp:lastModifiedBy/>
  <dcterms:modified xsi:type="dcterms:W3CDTF">2026-04-05T22:17:24Z</dcterms:modified>
  <cp:revision>6</cp:revision>
  <dc:subject/>
  <dc:title/>
</cp:coreProperties>
</file>