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Sí. Las actividades planificadas hasta la semana 10 están cumplidas y el proyecto va adelantado: los módulos 2 y 3 (inundaciones y ciudades), que la carta Gantt ubicaba entre las semanas 12 y 15, ya están desarrollados y validados. Lo que más facilitó el avance fue verificar temprano la disponibilidad de los datos, trabajar con contenedores para que todos usáramos las mismas versiones de las bibliotecas geoespaciales y calcular cada factor del modelo por separado, de modo que la falta de una fuente no bloqueara a las demás. Las dificultades vinieron principalmente de afuera: el acceso a la serie histórica del SIRSD-S dependió de la gestión con INDAP, el servidor de CIREN limita las descargas, las credenciales de los repositorios satelitales tardaron en habilitarse y la validación obligó a recalibrar el índice de inundación.</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rFonts w:eastAsiaTheme="majorEastAsia"/>
                <w:sz w:val="24"/>
                <w:szCs w:val="24"/>
              </w:rPr>
              <w:t>Mi forma de enfrentar las dificultades ha sido separar lo que se puede resolver con ingeniería de lo que no. Lo técnico se resolvió en el propio sistema: reintentos con espera creciente para el servidor de CIREN, cálculo del NDVI en el servidor de Copernicus en vez de descargar las imágenes completas, una copia local para que el visor siga funcionando sin conexión y una versión portable para presentar sin depender de un equipo en particular. Lo que no se puede resolver lo declaramos en vez de esconderlo: el modelo de erosión no es confiable en seis comunas de precordillera, y en lugar de ocultarlas las marcamos; y como el índice de inundación con los pesos iniciales ordenaba las comunas peor que el azar, lo recalibramos con juegos de pesos definidos de antemano. Con INDAP, la serie del programa se trabajó agregada por comuna y año, sin cargar datos personales.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3F712E45" w:rsidR="004F2A8B" w:rsidRDefault="004F2A8B" w:rsidP="3D28A338">
            <w:pPr>
              <w:jc w:val="both"/>
              <w:rPr>
                <w:rFonts w:ascii="Calibri" w:hAnsi="Calibri"/>
                <w:b/>
                <w:bCs/>
                <w:color w:val="1F4E79" w:themeColor="accent1" w:themeShade="80"/>
              </w:rPr>
            </w:pPr>
            <w:r>
              <w:rPr>
                <w:rFonts w:eastAsiaTheme="majorEastAsia"/>
                <w:sz w:val="24"/>
                <w:szCs w:val="24"/>
              </w:rPr>
              <w:t xml:space="preserve">Evalúo nuestro trabajo como muy bueno. Destaco que el sistema funciona de punta a punta con datos reales, que cada número que muestra tiene su fuente y que validamos los dos modelos contra datos independientes </w:t>
            </w:r>
            <w:r w:rsidR="00742565">
              <w:rPr>
                <w:rFonts w:eastAsiaTheme="majorEastAsia"/>
                <w:sz w:val="24"/>
                <w:szCs w:val="24"/>
              </w:rPr>
              <w:t>,</w:t>
            </w:r>
            <w:r>
              <w:rPr>
                <w:rFonts w:eastAsiaTheme="majorEastAsia"/>
                <w:sz w:val="24"/>
                <w:szCs w:val="24"/>
              </w:rPr>
              <w:t>el inventario de CIREN y 63 eventos históricos de inundación</w:t>
            </w:r>
            <w:r w:rsidR="00742565">
              <w:rPr>
                <w:rFonts w:eastAsiaTheme="majorEastAsia"/>
                <w:sz w:val="24"/>
                <w:szCs w:val="24"/>
              </w:rPr>
              <w:t>,</w:t>
            </w:r>
            <w:r>
              <w:rPr>
                <w:rFonts w:eastAsiaTheme="majorEastAsia"/>
                <w:sz w:val="24"/>
                <w:szCs w:val="24"/>
              </w:rPr>
              <w:t xml:space="preserve"> en vez de suponer que estaban bien. En mi parte, el visor, me quedo con que una persona sin formación técnica puede recorrer el análisis desde la región completa hasta su propio predio, y con que el sistema cuenta con cerca de 370 pruebas automatizadas que respaldan su calidad. Para seguir mejorando, el siguiente paso es poner el visor frente a funcionarios de INDAP, que son sus usuarios finales, y ajustar lo que surja de esa prueba.</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42150C2B" w:rsidR="004F2A8B" w:rsidRPr="00742565" w:rsidRDefault="00742565" w:rsidP="3D28A338">
            <w:pPr>
              <w:jc w:val="both"/>
              <w:rPr>
                <w:rFonts w:ascii="Calibri" w:hAnsi="Calibri"/>
              </w:rPr>
            </w:pPr>
            <w:r w:rsidRPr="00742565">
              <w:rPr>
                <w:rFonts w:ascii="Calibri" w:hAnsi="Calibri"/>
              </w:rPr>
              <w:t>Mi principal inquietud es que nos falta probar un poco más el sistema con personas expertas en el tema. Las validaciones que hicimos están bien en general: el cálculo de erosión ordena las comunas igual que el inventario oficial de CIREN y el índice de inundación coincide con los eventos históricos registrados. Aun así, hasta ahora la revisión la hemos hecho principalmente nosotros, y me gustaría contrastar los resultados y el uso del visor con especialistas en suelos y con funcionarios de INDAP, que conocen el territorio y el programa en terreno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932116" w14:textId="1D335D55" w:rsidR="00742565" w:rsidRDefault="004F2A8B" w:rsidP="3D28A338">
            <w:pPr>
              <w:jc w:val="both"/>
              <w:rPr>
                <w:rFonts w:eastAsiaTheme="majorEastAsia"/>
                <w:sz w:val="24"/>
                <w:szCs w:val="24"/>
              </w:rPr>
            </w:pPr>
            <w:r>
              <w:rPr>
                <w:rFonts w:eastAsiaTheme="majorEastAsia"/>
                <w:sz w:val="24"/>
                <w:szCs w:val="24"/>
              </w:rPr>
              <w:t>Considero que no es necesario redistribuir las actividades: los roles funcionan</w:t>
            </w:r>
            <w:r w:rsidR="00742565">
              <w:rPr>
                <w:rFonts w:eastAsiaTheme="majorEastAsia"/>
                <w:sz w:val="24"/>
                <w:szCs w:val="24"/>
              </w:rPr>
              <w:t>, si en fases futuras surgen nuevas dificultades o desafíos tenemos una estructura de trabajo grupal que nos permitiría asumir estos desafíos.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3E427A83" w:rsidR="004F2A8B" w:rsidRDefault="004F2A8B" w:rsidP="3D28A338">
            <w:pPr>
              <w:jc w:val="both"/>
              <w:rPr>
                <w:rFonts w:eastAsiaTheme="majorEastAsia"/>
                <w:color w:val="767171" w:themeColor="background2" w:themeShade="80"/>
                <w:sz w:val="24"/>
                <w:szCs w:val="24"/>
              </w:rPr>
            </w:pPr>
            <w:r>
              <w:rPr>
                <w:rFonts w:eastAsiaTheme="majorEastAsia"/>
                <w:sz w:val="24"/>
                <w:szCs w:val="24"/>
              </w:rPr>
              <w:t>Evalúo el trabajo en grupo de forma muy positiva. Los roles son claros y complementarios</w:t>
            </w:r>
            <w:r w:rsidR="00742565">
              <w:rPr>
                <w:rFonts w:eastAsiaTheme="majorEastAsia"/>
                <w:sz w:val="24"/>
                <w:szCs w:val="24"/>
              </w:rPr>
              <w:t xml:space="preserve">, </w:t>
            </w:r>
            <w:r>
              <w:rPr>
                <w:rFonts w:eastAsiaTheme="majorEastAsia"/>
                <w:sz w:val="24"/>
                <w:szCs w:val="24"/>
              </w:rPr>
              <w:t>datos y geoprocesamiento, backend y vínculo con INDAP, visor y calidad, las decisiones técnicas se discutieron y quedaron documentadas, y el vínculo de Carla con INDAP fue clave para conseguir la serie histórica del programa, que es la base del índice. En general el trabajo ha funcionado muy bien y no identifico aspectos que sea necesario mejorar; lo importante ahora es mantener este ritmo y esta coordinación hasta la presentación final.</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9119A" w14:textId="77777777" w:rsidR="00D5603D" w:rsidRDefault="00D5603D" w:rsidP="00DF38AE">
      <w:pPr>
        <w:spacing w:after="0" w:line="240" w:lineRule="auto"/>
      </w:pPr>
      <w:r>
        <w:separator/>
      </w:r>
    </w:p>
  </w:endnote>
  <w:endnote w:type="continuationSeparator" w:id="0">
    <w:p w14:paraId="3969E759" w14:textId="77777777" w:rsidR="00D5603D" w:rsidRDefault="00D560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4DC58" w14:textId="77777777" w:rsidR="00D5603D" w:rsidRDefault="00D5603D" w:rsidP="00DF38AE">
      <w:pPr>
        <w:spacing w:after="0" w:line="240" w:lineRule="auto"/>
      </w:pPr>
      <w:r>
        <w:separator/>
      </w:r>
    </w:p>
  </w:footnote>
  <w:footnote w:type="continuationSeparator" w:id="0">
    <w:p w14:paraId="1E18F5E1" w14:textId="77777777" w:rsidR="00D5603D" w:rsidRDefault="00D560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4545357">
    <w:abstractNumId w:val="3"/>
  </w:num>
  <w:num w:numId="2" w16cid:durableId="444153585">
    <w:abstractNumId w:val="8"/>
  </w:num>
  <w:num w:numId="3" w16cid:durableId="328295189">
    <w:abstractNumId w:val="12"/>
  </w:num>
  <w:num w:numId="4" w16cid:durableId="1525630730">
    <w:abstractNumId w:val="28"/>
  </w:num>
  <w:num w:numId="5" w16cid:durableId="463889169">
    <w:abstractNumId w:val="30"/>
  </w:num>
  <w:num w:numId="6" w16cid:durableId="1231647540">
    <w:abstractNumId w:val="4"/>
  </w:num>
  <w:num w:numId="7" w16cid:durableId="1101610670">
    <w:abstractNumId w:val="11"/>
  </w:num>
  <w:num w:numId="8" w16cid:durableId="1424182140">
    <w:abstractNumId w:val="19"/>
  </w:num>
  <w:num w:numId="9" w16cid:durableId="1788964821">
    <w:abstractNumId w:val="15"/>
  </w:num>
  <w:num w:numId="10" w16cid:durableId="1555235652">
    <w:abstractNumId w:val="9"/>
  </w:num>
  <w:num w:numId="11" w16cid:durableId="1589535969">
    <w:abstractNumId w:val="24"/>
  </w:num>
  <w:num w:numId="12" w16cid:durableId="1293368774">
    <w:abstractNumId w:val="35"/>
  </w:num>
  <w:num w:numId="13" w16cid:durableId="114638727">
    <w:abstractNumId w:val="29"/>
  </w:num>
  <w:num w:numId="14" w16cid:durableId="1251230947">
    <w:abstractNumId w:val="1"/>
  </w:num>
  <w:num w:numId="15" w16cid:durableId="613555903">
    <w:abstractNumId w:val="36"/>
  </w:num>
  <w:num w:numId="16" w16cid:durableId="428696596">
    <w:abstractNumId w:val="21"/>
  </w:num>
  <w:num w:numId="17" w16cid:durableId="768239485">
    <w:abstractNumId w:val="17"/>
  </w:num>
  <w:num w:numId="18" w16cid:durableId="155077462">
    <w:abstractNumId w:val="31"/>
  </w:num>
  <w:num w:numId="19" w16cid:durableId="972519737">
    <w:abstractNumId w:val="10"/>
  </w:num>
  <w:num w:numId="20" w16cid:durableId="1979722619">
    <w:abstractNumId w:val="39"/>
  </w:num>
  <w:num w:numId="21" w16cid:durableId="1805809619">
    <w:abstractNumId w:val="34"/>
  </w:num>
  <w:num w:numId="22" w16cid:durableId="1955019982">
    <w:abstractNumId w:val="13"/>
  </w:num>
  <w:num w:numId="23" w16cid:durableId="463280228">
    <w:abstractNumId w:val="14"/>
  </w:num>
  <w:num w:numId="24" w16cid:durableId="1942032214">
    <w:abstractNumId w:val="5"/>
  </w:num>
  <w:num w:numId="25" w16cid:durableId="2091735708">
    <w:abstractNumId w:val="16"/>
  </w:num>
  <w:num w:numId="26" w16cid:durableId="695737136">
    <w:abstractNumId w:val="20"/>
  </w:num>
  <w:num w:numId="27" w16cid:durableId="214044610">
    <w:abstractNumId w:val="23"/>
  </w:num>
  <w:num w:numId="28" w16cid:durableId="999193928">
    <w:abstractNumId w:val="0"/>
  </w:num>
  <w:num w:numId="29" w16cid:durableId="1456679464">
    <w:abstractNumId w:val="18"/>
  </w:num>
  <w:num w:numId="30" w16cid:durableId="91241556">
    <w:abstractNumId w:val="22"/>
  </w:num>
  <w:num w:numId="31" w16cid:durableId="1598097794">
    <w:abstractNumId w:val="2"/>
  </w:num>
  <w:num w:numId="32" w16cid:durableId="557790425">
    <w:abstractNumId w:val="7"/>
  </w:num>
  <w:num w:numId="33" w16cid:durableId="2142114635">
    <w:abstractNumId w:val="32"/>
  </w:num>
  <w:num w:numId="34" w16cid:durableId="1723285577">
    <w:abstractNumId w:val="38"/>
  </w:num>
  <w:num w:numId="35" w16cid:durableId="12807717">
    <w:abstractNumId w:val="6"/>
  </w:num>
  <w:num w:numId="36" w16cid:durableId="1602489640">
    <w:abstractNumId w:val="25"/>
  </w:num>
  <w:num w:numId="37" w16cid:durableId="1015766985">
    <w:abstractNumId w:val="37"/>
  </w:num>
  <w:num w:numId="38" w16cid:durableId="1598833486">
    <w:abstractNumId w:val="27"/>
  </w:num>
  <w:num w:numId="39" w16cid:durableId="1759016687">
    <w:abstractNumId w:val="26"/>
  </w:num>
  <w:num w:numId="40" w16cid:durableId="59402259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2565"/>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19F6"/>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603D"/>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809</Words>
  <Characters>4452</Characters>
  <Application>Microsoft Office Word</Application>
  <DocSecurity>0</DocSecurity>
  <Lines>37</Lines>
  <Paragraphs>10</Paragraphs>
  <ScaleCrop>false</ScaleCrop>
  <Company>Wal-Mart Stores, Inc.</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ANTONIO . LANKIN MAZRY</cp:lastModifiedBy>
  <cp:revision>43</cp:revision>
  <cp:lastPrinted>2019-12-16T20:10:00Z</cp:lastPrinted>
  <dcterms:created xsi:type="dcterms:W3CDTF">2021-12-31T12:50:00Z</dcterms:created>
  <dcterms:modified xsi:type="dcterms:W3CDTF">2026-10-13T01:38:00Z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