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F3864"/>
          <w:sz w:val="30"/>
          <w:szCs w:val="30"/>
        </w:rPr>
        <w:t xml:space="preserve">3. Listado de casos de uso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TerraFoco — INDAP · Modelo de casos de uso v2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800"/>
        <w:gridCol w:w="2700"/>
        <w:gridCol w:w="3100"/>
        <w:gridCol w:w="2400"/>
        <w:gridCol w:w="1300"/>
        <w:gridCol w:w="3000"/>
        <w:gridCol w:w="1100"/>
      </w:tblGrid>
      <w:tr>
        <w:trPr>
          <w:cantSplit/>
          <w:tblHeader/>
        </w:trPr>
        <w:tc>
          <w:tcPr>
            <w:tcW w:type="dxa" w:w="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 primario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Relaciones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visor cartográfico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Usuario consultante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(Analista territorial, Encargado de programa)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UC-02, UC-03, UC-04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UC-02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Cambiar capa temática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(vía UC-01)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«extend» → UC-01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UC-03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ficha de comuna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(vía UC-01)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«extend» → UC-01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UC-04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Exportar reporte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(vía UC-01)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«extend» → UC-01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UC-05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índice de pertinencia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Usuario consultante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(Analista territorial, Encargado de programa)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«include» → UC-07; base de UC-06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UC-06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Comparar con línea base CIREN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(vía UC-05)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1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«extend» → UC-05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UC-07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Calcular índice de pertinencia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(interno, sin actor)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incluido por UC-05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UC-08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susceptibilidad a inundación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Usuario consultante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(Analista territorial, Encargado de programa)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2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UC-09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análisis térmico urbano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Usuario consultante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(Analista territorial, Encargado de programa)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3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UC-10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Administrar catálogo de fuentes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Administrador de datos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Núcleo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Ejecutar proceso de ingesta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Administrador de datos, «tiempo» Programador de tareas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Repositorios satelitales, Portal de datos públicos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Núcleo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UC-12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bitácora de ejecuciones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Administrador de datos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Núcleo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UC-13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Entrenar y evaluar modelos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Administrador de datos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UC-14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Autenticarse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Usuario INDAP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(generalizado)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Servicio de autenticación institucional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Núcleo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precondición del resto del sistema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UC-15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Administrar usuarios y roles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Administrador de datos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Servicio de autenticación institucional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Núcleo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UC-16</w:t>
            </w:r>
          </w:p>
        </w:tc>
        <w:tc>
          <w:tcPr>
            <w:tcW w:type="dxa" w:w="27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Parametrizar índice de pertinencia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Encargado de programa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Módulo 1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20" w:before="280"/>
      </w:pPr>
      <w:r>
        <w:rPr>
          <w:sz w:val="20"/>
          <w:szCs w:val="20"/>
        </w:rPr>
        <w:t xml:space="preserve">Precondición general: salvo UC-14, todos los casos de uso requieren sesión autenticada. Se declara una vez aquí en lugar de repetir «include» → UC-14 en cada fila.</w:t>
      </w:r>
    </w:p>
    <w:p>
      <w:pPr>
        <w:spacing w:after="120" w:before="60"/>
      </w:pPr>
      <w:r>
        <w:rPr>
          <w:sz w:val="20"/>
          <w:szCs w:val="20"/>
        </w:rPr>
        <w:t xml:space="preserve">Casos de uso sin actor primario: UC-02, UC-03, UC-04 y UC-06 son extensiones; su actor es el del caso base correspondiente. UC-07 es un caso de uso interno, invocado por UC-05: el sistema en construcción no puede ser actor de sí mismo.</w:t>
      </w:r>
    </w:p>
    <w:p>
      <w:pPr>
        <w:spacing w:after="120" w:before="60"/>
      </w:pPr>
      <w:r>
        <w:rPr>
          <w:sz w:val="20"/>
          <w:szCs w:val="20"/>
        </w:rPr>
        <w:t xml:space="preserve">Usuario consultante y Usuario INDAP son actores generalizados y abstractos, no cargos: ver la jerarquía de actores en la sección 3.1.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TerraFoco — Listado de casos de uso</dc:title>
  <dc:creator>INDAP</dc:creator>
  <cp:lastModifiedBy>Un-named</cp:lastModifiedBy>
  <cp:revision>1</cp:revision>
  <dcterms:created xsi:type="dcterms:W3CDTF">2026-08-26T00:04:10.642Z</dcterms:created>
  <dcterms:modified xsi:type="dcterms:W3CDTF">2026-08-26T00:04:10.643Z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