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6"/>
          <w:szCs w:val="46"/>
        </w:rPr>
      </w:pPr>
      <w:r w:rsidDel="00000000" w:rsidR="00000000" w:rsidRPr="00000000">
        <w:rPr>
          <w:sz w:val="46"/>
          <w:szCs w:val="46"/>
          <w:rtl w:val="0"/>
        </w:rPr>
        <w:t xml:space="preserve">TerraFoco - Justificación de la innovación</w:t>
      </w:r>
    </w:p>
    <w:p w:rsidR="00000000" w:rsidDel="00000000" w:rsidP="00000000" w:rsidRDefault="00000000" w:rsidRPr="00000000" w14:paraId="00000002">
      <w:pPr>
        <w:pStyle w:val="Subtitle"/>
        <w:rPr/>
      </w:pPr>
      <w:r w:rsidDel="00000000" w:rsidR="00000000" w:rsidRPr="00000000">
        <w:rPr>
          <w:rtl w:val="0"/>
        </w:rPr>
        <w:t xml:space="preserve">Proyecto APT · Capstone 003D · Duoc UC - 12-10-2026</w:t>
      </w:r>
    </w:p>
    <w:p w:rsidR="00000000" w:rsidDel="00000000" w:rsidP="00000000" w:rsidRDefault="00000000" w:rsidRPr="00000000" w14:paraId="00000003">
      <w:pPr>
        <w:pStyle w:val="Heading1"/>
        <w:rPr>
          <w:sz w:val="32"/>
          <w:szCs w:val="32"/>
        </w:rPr>
      </w:pPr>
      <w:r w:rsidDel="00000000" w:rsidR="00000000" w:rsidRPr="00000000">
        <w:rPr>
          <w:sz w:val="32"/>
          <w:szCs w:val="32"/>
          <w:rtl w:val="0"/>
        </w:rPr>
        <w:t xml:space="preserve">1. En una frase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TerraFoco es la primera herramienta que pone, en el mismo mapa y con la misma unidad, </w:t>
      </w: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cuánto suelo se está perdiendo en cada comuna</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y </w:t>
      </w: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cuánto ha invertido el Estado para recuperarlo</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Así deja ver dónde la necesidad es alta y la inversión baja, con datos públicos, de forma reproducible y declarando dónde su propio modelo no es válido.</w:t>
      </w:r>
    </w:p>
    <w:p w:rsidR="00000000" w:rsidDel="00000000" w:rsidP="00000000" w:rsidRDefault="00000000" w:rsidRPr="00000000" w14:paraId="00000005">
      <w:pPr>
        <w:pStyle w:val="Heading1"/>
        <w:rPr>
          <w:sz w:val="32"/>
          <w:szCs w:val="32"/>
        </w:rPr>
      </w:pPr>
      <w:r w:rsidDel="00000000" w:rsidR="00000000" w:rsidRPr="00000000">
        <w:rPr>
          <w:sz w:val="32"/>
          <w:szCs w:val="32"/>
          <w:rtl w:val="0"/>
        </w:rPr>
        <w:t xml:space="preserve">2. El problema: el programa no puede medir si llega donde debe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El Sistema de Incentivos para la Sustentabilidad Agroambiental de los Suelos Agropecuarios (SIRSD-S, Ley 20.412), que ejecutan INDAP y el SAG, tiene como propósito «recuperar el potencial productivo de los suelos agropecuarios degradados». Las evaluaciones de la Dirección de Presupuestos muestran que hoy no hay cómo comprobar si la inversión llega a esos suelos: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El indicador de propósito no mide el objetivo.</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En el monitoreo de 2021, DIPRES señala que «el indicador de propósito no permite medir el objetivo del programa».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La cobertura de las comunas más erosionadas es baja y va a la baja.</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El indicador «porcentaje de comunas con suelos altamente afectados por erosión que son intervenidas» marcó 61 % en 2019 y 2020 y 54 % en 2021. La evaluación ex ante de 2025 lo reporta en 16 % para 2023, con estimaciones de 6,1 % y 6,9 % para 2024 y 2025.</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El diseño fue objetado.</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La evaluación ex ante de diseño de 2025, sobre el componente del SAG, calificó el programa como «Objetado técnicamente» y observó que algunos criterios de focalización «no son pertinentes ni objetivos».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El diagnóstico usa datos antiguos.</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La misma evaluación advierte que el diagnóstico sigue usando el Censo Agropecuario de 2007.</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El problema no es la falta de datos: el inventario de erosión de CIREN, las imágenes satelitales y la ejecución del programa existen y son públicos o gestionables. El problema es que </w:t>
      </w: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nadie los cruza</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w:t>
      </w:r>
    </w:p>
    <w:p w:rsidR="00000000" w:rsidDel="00000000" w:rsidP="00000000" w:rsidRDefault="00000000" w:rsidRPr="00000000" w14:paraId="0000000C">
      <w:pPr>
        <w:pStyle w:val="Heading1"/>
        <w:rPr>
          <w:sz w:val="32"/>
          <w:szCs w:val="32"/>
        </w:rPr>
      </w:pPr>
      <w:r w:rsidDel="00000000" w:rsidR="00000000" w:rsidRPr="00000000">
        <w:rPr>
          <w:sz w:val="32"/>
          <w:szCs w:val="32"/>
          <w:rtl w:val="0"/>
        </w:rPr>
        <w:t xml:space="preserve">3. Qué existe hoy y qué le falta</w:t>
      </w:r>
    </w:p>
    <w:tbl>
      <w:tblPr>
        <w:tblStyle w:val="Table1"/>
        <w:tblW w:w="7920.0" w:type="dxa"/>
        <w:jc w:val="left"/>
        <w:tblInd w:w="-108.0" w:type="dxa"/>
        <w:tblBorders>
          <w:top w:color="c9cfcc" w:space="0" w:sz="4" w:val="single"/>
          <w:left w:color="c9cfcc" w:space="0" w:sz="4" w:val="single"/>
          <w:bottom w:color="c9cfcc" w:space="0" w:sz="4" w:val="single"/>
          <w:right w:color="c9cfcc" w:space="0" w:sz="4" w:val="single"/>
          <w:insideH w:color="c9cfcc" w:space="0" w:sz="4" w:val="single"/>
          <w:insideV w:color="c9cfcc"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shd w:fill="317de2"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Herramienta</w:t>
            </w:r>
            <w:r w:rsidDel="00000000" w:rsidR="00000000" w:rsidRPr="00000000">
              <w:rPr>
                <w:rtl w:val="0"/>
              </w:rPr>
            </w:r>
          </w:p>
        </w:tc>
        <w:tc>
          <w:tcPr>
            <w:shd w:fill="317de2"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Qué hace bien</w:t>
            </w:r>
            <w:r w:rsidDel="00000000" w:rsidR="00000000" w:rsidRPr="00000000">
              <w:rPr>
                <w:rtl w:val="0"/>
              </w:rPr>
            </w:r>
          </w:p>
        </w:tc>
        <w:tc>
          <w:tcPr>
            <w:shd w:fill="317de2" w:val="cle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Qué le falta para responder la pregunta</w:t>
            </w: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84745"/>
                <w:sz w:val="19"/>
                <w:szCs w:val="19"/>
                <w:u w:val="none"/>
                <w:shd w:fill="auto" w:val="clear"/>
                <w:vertAlign w:val="baseline"/>
                <w:rtl w:val="0"/>
              </w:rPr>
              <w:t xml:space="preserve">Inventario Nacional de Erosión (CIREN)</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Mide la erosión con RUSLE por polígono, para casi todo Chile</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No mira la inversión; es una fotografía que no se actualiza sola</w:t>
            </w:r>
            <w:r w:rsidDel="00000000" w:rsidR="00000000" w:rsidRPr="00000000">
              <w:rPr>
                <w:rtl w:val="0"/>
              </w:rPr>
            </w:r>
          </w:p>
        </w:tc>
      </w:tr>
      <w:tr>
        <w:trPr>
          <w:cantSplit w:val="0"/>
          <w:tblHeader w:val="0"/>
        </w:trPr>
        <w:tc>
          <w:tcPr>
            <w:shd w:fill="f3f6f4"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84745"/>
                <w:sz w:val="19"/>
                <w:szCs w:val="19"/>
                <w:u w:val="none"/>
                <w:shd w:fill="auto" w:val="clear"/>
                <w:vertAlign w:val="baseline"/>
                <w:rtl w:val="0"/>
              </w:rPr>
              <w:t xml:space="preserve">IDE MINAGRI y geoportales del Estado</w:t>
            </w:r>
            <w:r w:rsidDel="00000000" w:rsidR="00000000" w:rsidRPr="00000000">
              <w:rPr>
                <w:rtl w:val="0"/>
              </w:rPr>
            </w:r>
          </w:p>
        </w:tc>
        <w:tc>
          <w:tcPr>
            <w:shd w:fill="f3f6f4"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Publican capas, incluida la ejecución del SIRSD-S</w:t>
            </w:r>
            <w:r w:rsidDel="00000000" w:rsidR="00000000" w:rsidRPr="00000000">
              <w:rPr>
                <w:rtl w:val="0"/>
              </w:rPr>
            </w:r>
          </w:p>
        </w:tc>
        <w:tc>
          <w:tcPr>
            <w:shd w:fill="f3f6f4"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Muestran capas por separado; no calculan un indicador que las relacione</w:t>
            </w: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84745"/>
                <w:sz w:val="19"/>
                <w:szCs w:val="19"/>
                <w:u w:val="none"/>
                <w:shd w:fill="auto" w:val="clear"/>
                <w:vertAlign w:val="baseline"/>
                <w:rtl w:val="0"/>
              </w:rPr>
              <w:t xml:space="preserve">MapaInversiones (BID)</w:t>
            </w: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 en 14 países de la región</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Georreferencia proyectos de inversión pública y su ejecución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Muestra dónde se invierte, no dónde hacía falta; no usa indicadores satelitales de necesidad</w:t>
            </w:r>
            <w:r w:rsidDel="00000000" w:rsidR="00000000" w:rsidRPr="00000000">
              <w:rPr>
                <w:rtl w:val="0"/>
              </w:rPr>
            </w:r>
          </w:p>
        </w:tc>
      </w:tr>
      <w:tr>
        <w:trPr>
          <w:cantSplit w:val="0"/>
          <w:tblHeader w:val="0"/>
        </w:trPr>
        <w:tc>
          <w:tcPr>
            <w:shd w:fill="f3f6f4"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84745"/>
                <w:sz w:val="19"/>
                <w:szCs w:val="19"/>
                <w:u w:val="none"/>
                <w:shd w:fill="auto" w:val="clear"/>
                <w:vertAlign w:val="baseline"/>
                <w:rtl w:val="0"/>
              </w:rPr>
              <w:t xml:space="preserve">Monitoreo de DIPRES</w:t>
            </w:r>
            <w:r w:rsidDel="00000000" w:rsidR="00000000" w:rsidRPr="00000000">
              <w:rPr>
                <w:rtl w:val="0"/>
              </w:rPr>
            </w:r>
          </w:p>
        </w:tc>
        <w:tc>
          <w:tcPr>
            <w:shd w:fill="f3f6f4"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Mide el desempeño del programa con indicadores anuales</w:t>
            </w:r>
            <w:r w:rsidDel="00000000" w:rsidR="00000000" w:rsidRPr="00000000">
              <w:rPr>
                <w:rtl w:val="0"/>
              </w:rPr>
            </w:r>
          </w:p>
        </w:tc>
        <w:tc>
          <w:tcPr>
            <w:shd w:fill="f3f6f4"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Indicadores agregados («% de comunas intervenidas») que no dicen cuánto ni dónde falta</w:t>
            </w: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284745"/>
                <w:sz w:val="19"/>
                <w:szCs w:val="19"/>
                <w:u w:val="none"/>
                <w:shd w:fill="auto" w:val="clear"/>
                <w:vertAlign w:val="baseline"/>
                <w:rtl w:val="0"/>
              </w:rPr>
              <w:t xml:space="preserve">Plataformas globales</w:t>
            </w: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 (Google Earth Engine, modelos globales de erosión)</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Procesan imágenes a gran escala</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Exigen saber programar o usar SIG, y no conocen la inversión chilena</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La evidencia internacional indica que juntar ambos datos sí cambia decisiones. En un experimento con autoridades locales de Malawi, quienes vieron en un mapa dónde ya había inversión eligieron con menos frecuencia esos mismos lugares para nuevas obras. En Honduras, en cambio, capacitar en un sistema de información de ayuda no cambió su uso en el trabajo diario. La revisión de AidData concluye que el dato influye cuando proviene de una fuente oficial, sirve para actuar y se vincula con la rendición de cuentas (BenYishay y Parks, 2019).</w:t>
      </w:r>
    </w:p>
    <w:p w:rsidR="00000000" w:rsidDel="00000000" w:rsidP="00000000" w:rsidRDefault="00000000" w:rsidRPr="00000000" w14:paraId="00000020">
      <w:pPr>
        <w:pStyle w:val="Heading1"/>
        <w:rPr>
          <w:sz w:val="32"/>
          <w:szCs w:val="32"/>
        </w:rPr>
      </w:pPr>
      <w:r w:rsidDel="00000000" w:rsidR="00000000" w:rsidRPr="00000000">
        <w:rPr>
          <w:sz w:val="32"/>
          <w:szCs w:val="32"/>
          <w:rtl w:val="0"/>
        </w:rPr>
        <w:t xml:space="preserve">4. Qué tipo de innovación 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Con las categorías del Manual de Oslo (OCDE y Eurostat, 2018):</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Tipo.</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Es una </w:t>
      </w: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innovación de proceso</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en la gestión pública, porque cambia la forma de evaluar y priorizar la focalización de un programa. Se apoya en un </w:t>
      </w: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producto digital</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nuevo: el visor y el índice.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Grado de novedad.</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Es </w:t>
      </w: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nueva para el contexto</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(INDAP y el SIRSD-S en Chile), no nueva para el mundo. Ninguno de sus componentes (RUSLE, Sentinel-2, PostGIS) es un invento del equipo.</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Naturaleza.</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Es </w:t>
      </w: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incremental por recombinación</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la novedad no está en las piezas, sino en juntarlas para responder una pregunta que hoy nadie responde con datos.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Decirlo así es más sólido que presentarla como una tecnología inédita: la comisión puede verificar cada componente, y el aporte queda donde realmente está.</w:t>
      </w:r>
    </w:p>
    <w:p w:rsidR="00000000" w:rsidDel="00000000" w:rsidP="00000000" w:rsidRDefault="00000000" w:rsidRPr="00000000" w14:paraId="00000026">
      <w:pPr>
        <w:pStyle w:val="Heading1"/>
        <w:rPr>
          <w:sz w:val="32"/>
          <w:szCs w:val="32"/>
        </w:rPr>
      </w:pPr>
      <w:r w:rsidDel="00000000" w:rsidR="00000000" w:rsidRPr="00000000">
        <w:rPr>
          <w:sz w:val="32"/>
          <w:szCs w:val="32"/>
          <w:rtl w:val="0"/>
        </w:rPr>
        <w:t xml:space="preserve">5. Los cinco elementos innovadores</w:t>
      </w:r>
    </w:p>
    <w:p w:rsidR="00000000" w:rsidDel="00000000" w:rsidP="00000000" w:rsidRDefault="00000000" w:rsidRPr="00000000" w14:paraId="00000027">
      <w:pPr>
        <w:pStyle w:val="Heading2"/>
        <w:rPr/>
      </w:pPr>
      <w:r w:rsidDel="00000000" w:rsidR="00000000" w:rsidRPr="00000000">
        <w:rPr>
          <w:rtl w:val="0"/>
        </w:rPr>
        <w:t xml:space="preserve">5.1 Un índice que cruza necesidad e inversión real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índice de pertinencia territorial</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compara, comuna por comuna, la erosión estimada con el incentivo del SIRSD-S de 2012 a 2025, expresado en UF por hectárea con erosión severa. Ambos se normalizan dentro de la región y se restan: un valor positivo indica más necesidad que inversión.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Primer resultado, con la copia de datos del 03-10-2026 y erosión de CIREN, en las 27 comunas dentro del dominio de validez: </w:t>
      </w: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la inversión por hectárea erosionada varía más de 100 veces entre comunas</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Navidad, con erosión severa (25,9 t/ha/año), recibió 0,32 UF por hectárea erosionada; San Vicente, con erosión moderada (16,0 t/ha/año), recibió 34,2 UF. </w:t>
      </w:r>
      <w:r w:rsidDel="00000000" w:rsidR="00000000" w:rsidRPr="00000000">
        <w:rPr>
          <w:rFonts w:ascii="Arial" w:cs="Arial" w:eastAsia="Arial" w:hAnsi="Arial"/>
          <w:b w:val="0"/>
          <w:bCs w:val="0"/>
          <w:i w:val="1"/>
          <w:iCs w:val="1"/>
          <w:smallCaps w:val="0"/>
          <w:strike w:val="0"/>
          <w:color w:val="284745"/>
          <w:sz w:val="21"/>
          <w:szCs w:val="21"/>
          <w:u w:val="none"/>
          <w:shd w:fill="auto" w:val="clear"/>
          <w:vertAlign w:val="baseline"/>
          <w:rtl w:val="0"/>
        </w:rPr>
        <w:t xml:space="preserve">Son resultados preliminares, que deben revisarse con INDAP.</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5.2 Honestidad metodológica como parte del diseño</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Dominio de validez.</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La ecuación de erosividad sobreestima en la precordillera, así que seis comunas se declaran fuera del dominio del modelo en vez de forzar un resultado.</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Validación ejecutada, no afirmada.</w:t>
      </w:r>
      <w:sdt>
        <w:sdtPr>
          <w:id w:val="1139580334"/>
          <w:tag w:val="goog_rdk_0"/>
        </w:sdtPr>
        <w:sdtContent>
          <w:r w:rsidDel="00000000" w:rsidR="00000000" w:rsidRPr="00000000">
            <w:rPr>
              <w:rFonts w:ascii="Arial Unicode MS" w:cs="Arial Unicode MS" w:eastAsia="Arial Unicode MS" w:hAnsi="Arial Unicode MS"/>
              <w:b w:val="0"/>
              <w:bCs w:val="0"/>
              <w:i w:val="0"/>
              <w:iCs w:val="0"/>
              <w:smallCaps w:val="0"/>
              <w:strike w:val="0"/>
              <w:color w:val="284745"/>
              <w:sz w:val="21"/>
              <w:szCs w:val="21"/>
              <w:u w:val="none"/>
              <w:shd w:fill="auto" w:val="clear"/>
              <w:vertAlign w:val="baseline"/>
              <w:rtl w:val="0"/>
            </w:rPr>
            <w:t xml:space="preserve"> El índice de inundación con pesos teóricos se correlacionaba al revés con los eventos históricos (Spearman −0,16). Se recalibró con evidencia hasta +0,36 a +0,41, y quedó documentado.</w:t>
          </w:r>
        </w:sdtContent>
      </w:sdt>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Ningún dato se inventa.</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Si falta una fuente, la comuna aparece como </w:t>
      </w:r>
      <w:r w:rsidDel="00000000" w:rsidR="00000000" w:rsidRPr="00000000">
        <w:rPr>
          <w:rFonts w:ascii="Arial" w:cs="Arial" w:eastAsia="Arial" w:hAnsi="Arial"/>
          <w:b w:val="0"/>
          <w:bCs w:val="0"/>
          <w:i w:val="1"/>
          <w:iCs w:val="1"/>
          <w:smallCaps w:val="0"/>
          <w:strike w:val="0"/>
          <w:color w:val="284745"/>
          <w:sz w:val="21"/>
          <w:szCs w:val="21"/>
          <w:u w:val="none"/>
          <w:shd w:fill="auto" w:val="clear"/>
          <w:vertAlign w:val="baseline"/>
          <w:rtl w:val="0"/>
        </w:rPr>
        <w:t xml:space="preserve">sin información</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o </w:t>
      </w:r>
      <w:r w:rsidDel="00000000" w:rsidR="00000000" w:rsidRPr="00000000">
        <w:rPr>
          <w:rFonts w:ascii="Arial" w:cs="Arial" w:eastAsia="Arial" w:hAnsi="Arial"/>
          <w:b w:val="0"/>
          <w:bCs w:val="0"/>
          <w:i w:val="1"/>
          <w:iCs w:val="1"/>
          <w:smallCaps w:val="0"/>
          <w:strike w:val="0"/>
          <w:color w:val="284745"/>
          <w:sz w:val="21"/>
          <w:szCs w:val="21"/>
          <w:u w:val="none"/>
          <w:shd w:fill="auto" w:val="clear"/>
          <w:vertAlign w:val="baseline"/>
          <w:rtl w:val="0"/>
        </w:rPr>
        <w:t xml:space="preserve">precisión reducida</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no como cero.</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Datos oficiales verificados.</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La serie de inversión coincide con la entrega oficial de INDAP (30.313 planes) en 423 de 425 combinaciones de comuna y año.</w:t>
      </w:r>
    </w:p>
    <w:p w:rsidR="00000000" w:rsidDel="00000000" w:rsidP="00000000" w:rsidRDefault="00000000" w:rsidRPr="00000000" w14:paraId="0000002F">
      <w:pPr>
        <w:pStyle w:val="Heading2"/>
        <w:rPr/>
      </w:pPr>
      <w:r w:rsidDel="00000000" w:rsidR="00000000" w:rsidRPr="00000000">
        <w:rPr>
          <w:rtl w:val="0"/>
        </w:rPr>
        <w:t xml:space="preserve">5.3 Actualización continua con datos abiertos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Un programador revisa cada hora qué fuente debe actualizarse según su propia cadencia (semanal, mensual, estacional o anual) y recalcula sin intervención. El inventario de CIREN es una fotografía; TerraFoco puede recalcular la cobertura vegetal con Sentinel-2 en cada temporada.</w:t>
      </w:r>
    </w:p>
    <w:p w:rsidR="00000000" w:rsidDel="00000000" w:rsidP="00000000" w:rsidRDefault="00000000" w:rsidRPr="00000000" w14:paraId="00000031">
      <w:pPr>
        <w:pStyle w:val="Heading2"/>
        <w:rPr/>
      </w:pPr>
      <w:r w:rsidDel="00000000" w:rsidR="00000000" w:rsidRPr="00000000">
        <w:rPr>
          <w:rtl w:val="0"/>
        </w:rPr>
        <w:t xml:space="preserve">5.4 De la comuna al predio, sin datos personales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El visor baja del promedio comunal al detalle de 30 metros. Un profesional de INDAP puede cargar un CSV con las coordenadas de sus predios y ver su erosión, pendiente y riesgo de inundación; el archivo se procesa en su navegador y nunca sale de su equipo. El sistema no almacena el nombre del agricultor ni el rol de la propiedad: los descarta en el origen.</w:t>
      </w:r>
    </w:p>
    <w:p w:rsidR="00000000" w:rsidDel="00000000" w:rsidP="00000000" w:rsidRDefault="00000000" w:rsidRPr="00000000" w14:paraId="00000033">
      <w:pPr>
        <w:pStyle w:val="Heading2"/>
        <w:rPr/>
      </w:pPr>
      <w:r w:rsidDel="00000000" w:rsidR="00000000" w:rsidRPr="00000000">
        <w:rPr>
          <w:rtl w:val="0"/>
        </w:rPr>
        <w:t xml:space="preserve">5.5 Bajo costo y escalable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Usa solo fuentes públicas y software libre. Corre en una máquina virtual de estudiante o desde un pendrive, sin instalar nada. Agregar una región es agregar una fila en la base, y la cobertura del inventario de CIREN (hasta Los Lagos) marca el techo real de escalabilidad.</w:t>
      </w:r>
    </w:p>
    <w:p w:rsidR="00000000" w:rsidDel="00000000" w:rsidP="00000000" w:rsidRDefault="00000000" w:rsidRPr="00000000" w14:paraId="00000035">
      <w:pPr>
        <w:pStyle w:val="Heading1"/>
        <w:rPr>
          <w:sz w:val="32"/>
          <w:szCs w:val="32"/>
        </w:rPr>
      </w:pPr>
      <w:r w:rsidDel="00000000" w:rsidR="00000000" w:rsidRPr="00000000">
        <w:rPr>
          <w:sz w:val="32"/>
          <w:szCs w:val="32"/>
          <w:rtl w:val="0"/>
        </w:rPr>
        <w:t xml:space="preserve">6. Valor para INDAP y el Estado</w:t>
      </w:r>
    </w:p>
    <w:tbl>
      <w:tblPr>
        <w:tblStyle w:val="Table2"/>
        <w:tblW w:w="7920.0" w:type="dxa"/>
        <w:jc w:val="left"/>
        <w:tblInd w:w="-108.0" w:type="dxa"/>
        <w:tblBorders>
          <w:top w:color="c9cfcc" w:space="0" w:sz="4" w:val="single"/>
          <w:left w:color="c9cfcc" w:space="0" w:sz="4" w:val="single"/>
          <w:bottom w:color="c9cfcc" w:space="0" w:sz="4" w:val="single"/>
          <w:right w:color="c9cfcc" w:space="0" w:sz="4" w:val="single"/>
          <w:insideH w:color="c9cfcc" w:space="0" w:sz="4" w:val="single"/>
          <w:insideV w:color="c9cfcc"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317de2"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Para quién</w:t>
            </w:r>
            <w:r w:rsidDel="00000000" w:rsidR="00000000" w:rsidRPr="00000000">
              <w:rPr>
                <w:rtl w:val="0"/>
              </w:rPr>
            </w:r>
          </w:p>
        </w:tc>
        <w:tc>
          <w:tcPr>
            <w:shd w:fill="317de2"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Qué gana</w:t>
            </w: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Encargados del SIRSD-S en INDAP</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Un ranking de comunas donde la inversión no acompaña a la degradación, para orientar la difusión de los concursos</w:t>
            </w:r>
            <w:r w:rsidDel="00000000" w:rsidR="00000000" w:rsidRPr="00000000">
              <w:rPr>
                <w:rtl w:val="0"/>
              </w:rPr>
            </w:r>
          </w:p>
        </w:tc>
      </w:tr>
      <w:tr>
        <w:trPr>
          <w:cantSplit w:val="0"/>
          <w:tblHeader w:val="0"/>
        </w:trPr>
        <w:tc>
          <w:tcPr>
            <w:shd w:fill="f3f6f4"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Diseño y evaluación del programa</w:t>
            </w:r>
            <w:r w:rsidDel="00000000" w:rsidR="00000000" w:rsidRPr="00000000">
              <w:rPr>
                <w:rtl w:val="0"/>
              </w:rPr>
            </w:r>
          </w:p>
        </w:tc>
        <w:tc>
          <w:tcPr>
            <w:shd w:fill="f3f6f4" w:val="cle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Un indicador complementario que mide lo que el actual no mide: la relación entre necesidad e inversión</w:t>
            </w: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Profesionales en terreno</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Evaluar predios concretos contra erosión, pendiente e inundación, y exportarlos a Google Earth o QGIS</w:t>
            </w:r>
            <w:r w:rsidDel="00000000" w:rsidR="00000000" w:rsidRPr="00000000">
              <w:rPr>
                <w:rtl w:val="0"/>
              </w:rPr>
            </w:r>
          </w:p>
        </w:tc>
      </w:tr>
      <w:tr>
        <w:trPr>
          <w:cantSplit w:val="0"/>
          <w:tblHeader w:val="0"/>
        </w:trPr>
        <w:tc>
          <w:tcPr>
            <w:shd w:fill="f3f6f4"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Ciudadanía</w:t>
            </w:r>
            <w:r w:rsidDel="00000000" w:rsidR="00000000" w:rsidRPr="00000000">
              <w:rPr>
                <w:rtl w:val="0"/>
              </w:rPr>
            </w:r>
          </w:p>
        </w:tc>
        <w:tc>
          <w:tcPr>
            <w:shd w:fill="f3f6f4"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Transparencia sobre dónde se invierte en recuperación de suelos y con qué criterio</w:t>
            </w:r>
            <w:r w:rsidDel="00000000" w:rsidR="00000000" w:rsidRPr="00000000">
              <w:rPr>
                <w:rtl w:val="0"/>
              </w:rPr>
            </w:r>
          </w:p>
        </w:tc>
      </w:tr>
    </w:tbl>
    <w:p w:rsidR="00000000" w:rsidDel="00000000" w:rsidP="00000000" w:rsidRDefault="00000000" w:rsidRPr="00000000" w14:paraId="00000040">
      <w:pPr>
        <w:pStyle w:val="Heading1"/>
        <w:rPr>
          <w:sz w:val="32"/>
          <w:szCs w:val="32"/>
        </w:rPr>
      </w:pPr>
      <w:r w:rsidDel="00000000" w:rsidR="00000000" w:rsidRPr="00000000">
        <w:rPr>
          <w:sz w:val="32"/>
          <w:szCs w:val="32"/>
          <w:rtl w:val="0"/>
        </w:rPr>
        <w:t xml:space="preserve">7. Límites que declaramos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Una brecha no prueba una mala focalización.</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El SIRSD-S se asigna por concurso, y una comuna puede recibir poco porque postula poco (menos agricultores, tenencia de la tierra, falta de operadores). El índice señala dónde mirar, no la causa.</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El índice mide cuánto se invierte, no qué tan bien.</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No evalúa la calidad ni el efecto de las prácticas financiadas.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RUSLE es un modelo de estimación,</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no una medición de campo, y su validez tiene límites geográficos que el propio sistema declara.</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Arial" w:cs="Arial" w:eastAsia="Arial" w:hAnsi="Arial"/>
          <w:b w:val="1"/>
          <w:bCs w:val="1"/>
          <w:i w:val="0"/>
          <w:iCs w:val="0"/>
          <w:smallCaps w:val="0"/>
          <w:strike w:val="0"/>
          <w:color w:val="284745"/>
          <w:sz w:val="21"/>
          <w:szCs w:val="21"/>
          <w:u w:val="none"/>
          <w:shd w:fill="auto" w:val="clear"/>
          <w:vertAlign w:val="baseline"/>
          <w:rtl w:val="0"/>
        </w:rPr>
        <w:t xml:space="preserve">Falta la validación con usuarios.</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La prueba de usabilidad con la contraparte está planificada para el Sprint 3 (HU-30). Hasta entonces, la utilidad para INDAP es una hipótesis con evidencia técnica, no una conclusión.</w:t>
      </w:r>
    </w:p>
    <w:p w:rsidR="00000000" w:rsidDel="00000000" w:rsidP="00000000" w:rsidRDefault="00000000" w:rsidRPr="00000000" w14:paraId="00000045">
      <w:pPr>
        <w:pStyle w:val="Heading1"/>
        <w:rPr>
          <w:sz w:val="32"/>
          <w:szCs w:val="32"/>
        </w:rPr>
      </w:pPr>
      <w:r w:rsidDel="00000000" w:rsidR="00000000" w:rsidRPr="00000000">
        <w:rPr>
          <w:sz w:val="32"/>
          <w:szCs w:val="32"/>
          <w:rtl w:val="0"/>
        </w:rPr>
        <w:t xml:space="preserve">8. Cómo se demostrará</w:t>
      </w:r>
    </w:p>
    <w:tbl>
      <w:tblPr>
        <w:tblStyle w:val="Table3"/>
        <w:tblW w:w="7920.0" w:type="dxa"/>
        <w:jc w:val="left"/>
        <w:tblInd w:w="-108.0" w:type="dxa"/>
        <w:tblBorders>
          <w:top w:color="c9cfcc" w:space="0" w:sz="4" w:val="single"/>
          <w:left w:color="c9cfcc" w:space="0" w:sz="4" w:val="single"/>
          <w:bottom w:color="c9cfcc" w:space="0" w:sz="4" w:val="single"/>
          <w:right w:color="c9cfcc" w:space="0" w:sz="4" w:val="single"/>
          <w:insideH w:color="c9cfcc" w:space="0" w:sz="4" w:val="single"/>
          <w:insideV w:color="c9cfcc"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shd w:fill="317de2"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Afirmación</w:t>
            </w:r>
            <w:r w:rsidDel="00000000" w:rsidR="00000000" w:rsidRPr="00000000">
              <w:rPr>
                <w:rtl w:val="0"/>
              </w:rPr>
            </w:r>
          </w:p>
        </w:tc>
        <w:tc>
          <w:tcPr>
            <w:shd w:fill="317de2"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Evidencia</w:t>
            </w: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El cálculo es correcto</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312 pruebas automatizadas; validación contra CIREN, contra eventos históricos y contra la entrega oficial de INDAP</w:t>
            </w:r>
            <w:r w:rsidDel="00000000" w:rsidR="00000000" w:rsidRPr="00000000">
              <w:rPr>
                <w:rtl w:val="0"/>
              </w:rPr>
            </w:r>
          </w:p>
        </w:tc>
      </w:tr>
      <w:tr>
        <w:trPr>
          <w:cantSplit w:val="0"/>
          <w:tblHeader w:val="0"/>
        </w:trPr>
        <w:tc>
          <w:tcPr>
            <w:shd w:fill="f3f6f4"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Es útil para INDAP</w:t>
            </w:r>
            <w:r w:rsidDel="00000000" w:rsidR="00000000" w:rsidRPr="00000000">
              <w:rPr>
                <w:rtl w:val="0"/>
              </w:rPr>
            </w:r>
          </w:p>
        </w:tc>
        <w:tc>
          <w:tcPr>
            <w:shd w:fill="f3f6f4"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Prueba de usabilidad con profesionales de la contraparte (Sprint 3) y su retroalimentación documentada</w:t>
            </w: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Es reproducible</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Código, migraciones y documentación versionados; el sistema completo se levanta con un comando o desde la copia portable</w:t>
            </w:r>
            <w:r w:rsidDel="00000000" w:rsidR="00000000" w:rsidRPr="00000000">
              <w:rPr>
                <w:rtl w:val="0"/>
              </w:rPr>
            </w:r>
          </w:p>
        </w:tc>
      </w:tr>
      <w:tr>
        <w:trPr>
          <w:cantSplit w:val="0"/>
          <w:tblHeader w:val="0"/>
        </w:trPr>
        <w:tc>
          <w:tcPr>
            <w:shd w:fill="f3f6f4"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Es accesible</w:t>
            </w:r>
            <w:r w:rsidDel="00000000" w:rsidR="00000000" w:rsidRPr="00000000">
              <w:rPr>
                <w:rtl w:val="0"/>
              </w:rPr>
            </w:r>
          </w:p>
        </w:tc>
        <w:tc>
          <w:tcPr>
            <w:shd w:fill="f3f6f4" w:val="cle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19"/>
                <w:szCs w:val="19"/>
                <w:u w:val="none"/>
                <w:shd w:fill="auto" w:val="clear"/>
                <w:vertAlign w:val="baseline"/>
                <w:rtl w:val="0"/>
              </w:rPr>
              <w:t xml:space="preserve">Visor público en el navegador, sin instalar software</w:t>
            </w:r>
            <w:r w:rsidDel="00000000" w:rsidR="00000000" w:rsidRPr="00000000">
              <w:rPr>
                <w:rtl w:val="0"/>
              </w:rPr>
            </w:r>
          </w:p>
        </w:tc>
      </w:tr>
    </w:tbl>
    <w:p w:rsidR="00000000" w:rsidDel="00000000" w:rsidP="00000000" w:rsidRDefault="00000000" w:rsidRPr="00000000" w14:paraId="00000050">
      <w:pPr>
        <w:pStyle w:val="Heading1"/>
        <w:rPr>
          <w:sz w:val="32"/>
          <w:szCs w:val="32"/>
        </w:rPr>
      </w:pPr>
      <w:r w:rsidDel="00000000" w:rsidR="00000000" w:rsidRPr="00000000">
        <w:rPr>
          <w:sz w:val="32"/>
          <w:szCs w:val="32"/>
          <w:rtl w:val="0"/>
        </w:rPr>
        <w:t xml:space="preserve">Referencias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BenYishay, A. y Parks, B. (2019). </w:t>
      </w:r>
      <w:r w:rsidDel="00000000" w:rsidR="00000000" w:rsidRPr="00000000">
        <w:rPr>
          <w:rFonts w:ascii="Arial" w:cs="Arial" w:eastAsia="Arial" w:hAnsi="Arial"/>
          <w:b w:val="0"/>
          <w:bCs w:val="0"/>
          <w:i w:val="1"/>
          <w:iCs w:val="1"/>
          <w:smallCaps w:val="0"/>
          <w:strike w:val="0"/>
          <w:color w:val="284745"/>
          <w:sz w:val="21"/>
          <w:szCs w:val="21"/>
          <w:u w:val="none"/>
          <w:shd w:fill="auto" w:val="clear"/>
          <w:vertAlign w:val="baseline"/>
          <w:rtl w:val="0"/>
        </w:rPr>
        <w:t xml:space="preserve">Can providing local data on aid and population needs improve development decision-making? A review of recent experimental evidence</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AidData. https://docs.aiddata.org/ad4/pdfs/Can_Providing_Local_Data_on_Aid_and_Population_Needs_Improve_Development_Decision-Making.pdf</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Banco Interamericano de Desarrollo. (s. f.). </w:t>
      </w:r>
      <w:r w:rsidDel="00000000" w:rsidR="00000000" w:rsidRPr="00000000">
        <w:rPr>
          <w:rFonts w:ascii="Arial" w:cs="Arial" w:eastAsia="Arial" w:hAnsi="Arial"/>
          <w:b w:val="0"/>
          <w:bCs w:val="0"/>
          <w:i w:val="1"/>
          <w:iCs w:val="1"/>
          <w:smallCaps w:val="0"/>
          <w:strike w:val="0"/>
          <w:color w:val="284745"/>
          <w:sz w:val="21"/>
          <w:szCs w:val="21"/>
          <w:u w:val="none"/>
          <w:shd w:fill="auto" w:val="clear"/>
          <w:vertAlign w:val="baseline"/>
          <w:rtl w:val="0"/>
        </w:rPr>
        <w:t xml:space="preserve">MapaInversiones</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https://www.iadb.org/es/quienes-somos/topicos/modernizacion-del-estado/mapainversiones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Dirección de Presupuestos. (2021). </w:t>
      </w:r>
      <w:r w:rsidDel="00000000" w:rsidR="00000000" w:rsidRPr="00000000">
        <w:rPr>
          <w:rFonts w:ascii="Arial" w:cs="Arial" w:eastAsia="Arial" w:hAnsi="Arial"/>
          <w:b w:val="0"/>
          <w:bCs w:val="0"/>
          <w:i w:val="1"/>
          <w:iCs w:val="1"/>
          <w:smallCaps w:val="0"/>
          <w:strike w:val="0"/>
          <w:color w:val="284745"/>
          <w:sz w:val="21"/>
          <w:szCs w:val="21"/>
          <w:u w:val="none"/>
          <w:shd w:fill="auto" w:val="clear"/>
          <w:vertAlign w:val="baseline"/>
          <w:rtl w:val="0"/>
        </w:rPr>
        <w:t xml:space="preserve">Informe de monitoreo y seguimiento de la oferta pública 2021: Sistema de Incentivos para la Sustentabilidad Agroambiental de los Suelos Agropecuarios</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https://www.dipres.gob.cl/597/articles-275691_doc_pdf.pdf</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Dirección de Presupuestos. (2025). </w:t>
      </w:r>
      <w:r w:rsidDel="00000000" w:rsidR="00000000" w:rsidRPr="00000000">
        <w:rPr>
          <w:rFonts w:ascii="Arial" w:cs="Arial" w:eastAsia="Arial" w:hAnsi="Arial"/>
          <w:b w:val="0"/>
          <w:bCs w:val="0"/>
          <w:i w:val="1"/>
          <w:iCs w:val="1"/>
          <w:smallCaps w:val="0"/>
          <w:strike w:val="0"/>
          <w:color w:val="284745"/>
          <w:sz w:val="21"/>
          <w:szCs w:val="21"/>
          <w:u w:val="none"/>
          <w:shd w:fill="auto" w:val="clear"/>
          <w:vertAlign w:val="baseline"/>
          <w:rtl w:val="0"/>
        </w:rPr>
        <w:t xml:space="preserve">Evaluación ex ante de diseño 2025: Sistema de Incentivos para la Sustentabilidad Agroambiental de los Suelos Agropecuarios (SAG)</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https://www.dipres.gob.cl/597/articles-341612_doc_pdf.pdf</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OCDE y Eurostat. (2018). </w:t>
      </w:r>
      <w:r w:rsidDel="00000000" w:rsidR="00000000" w:rsidRPr="00000000">
        <w:rPr>
          <w:rFonts w:ascii="Arial" w:cs="Arial" w:eastAsia="Arial" w:hAnsi="Arial"/>
          <w:b w:val="0"/>
          <w:bCs w:val="0"/>
          <w:i w:val="1"/>
          <w:iCs w:val="1"/>
          <w:smallCaps w:val="0"/>
          <w:strike w:val="0"/>
          <w:color w:val="284745"/>
          <w:sz w:val="21"/>
          <w:szCs w:val="21"/>
          <w:u w:val="none"/>
          <w:shd w:fill="auto" w:val="clear"/>
          <w:vertAlign w:val="baseline"/>
          <w:rtl w:val="0"/>
        </w:rPr>
        <w:t xml:space="preserve">Oslo Manual 2018: Guidelines for collecting, reporting and using data on innovation</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(4.ª ed.). OECD Publishing.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284745"/>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Oficina de Estudios y Políticas Agrarias. (s. f.). </w:t>
      </w:r>
      <w:r w:rsidDel="00000000" w:rsidR="00000000" w:rsidRPr="00000000">
        <w:rPr>
          <w:rFonts w:ascii="Arial" w:cs="Arial" w:eastAsia="Arial" w:hAnsi="Arial"/>
          <w:b w:val="0"/>
          <w:bCs w:val="0"/>
          <w:i w:val="1"/>
          <w:iCs w:val="1"/>
          <w:smallCaps w:val="0"/>
          <w:strike w:val="0"/>
          <w:color w:val="284745"/>
          <w:sz w:val="21"/>
          <w:szCs w:val="21"/>
          <w:u w:val="none"/>
          <w:shd w:fill="auto" w:val="clear"/>
          <w:vertAlign w:val="baseline"/>
          <w:rtl w:val="0"/>
        </w:rPr>
        <w:t xml:space="preserve">Programa de suelos SIRSD-S</w:t>
      </w:r>
      <w:r w:rsidDel="00000000" w:rsidR="00000000" w:rsidRPr="00000000">
        <w:rPr>
          <w:rFonts w:ascii="Arial" w:cs="Arial" w:eastAsia="Arial" w:hAnsi="Arial"/>
          <w:b w:val="0"/>
          <w:bCs w:val="0"/>
          <w:i w:val="0"/>
          <w:iCs w:val="0"/>
          <w:smallCaps w:val="0"/>
          <w:strike w:val="0"/>
          <w:color w:val="284745"/>
          <w:sz w:val="21"/>
          <w:szCs w:val="21"/>
          <w:u w:val="none"/>
          <w:shd w:fill="auto" w:val="clear"/>
          <w:vertAlign w:val="baseline"/>
          <w:rtl w:val="0"/>
        </w:rPr>
        <w:t xml:space="preserve">. https://www.odepa.gob.cl/temas-transversales/agricultura-sustentable/programa-de-suelos-sirsd-s</w:t>
      </w:r>
    </w:p>
    <w:sectPr>
      <w:headerReference r:id="rId7" w:type="default"/>
      <w:pgSz w:h="15840" w:w="12240" w:orient="portrait"/>
      <w:pgMar w:bottom="1134" w:top="1134" w:left="1247" w:right="124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color w:val="8a9391"/>
        <w:sz w:val="16"/>
        <w:szCs w:val="16"/>
        <w:rtl w:val="0"/>
      </w:rPr>
      <w:t xml:space="preserve">TerraFoco · Capstone 003D · Duoc UC - Justificación de la innovación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84745"/>
        <w:sz w:val="21"/>
        <w:szCs w:val="21"/>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i w:val="0"/>
      <w:iCs w:val="0"/>
      <w:color w:val="1c3231"/>
      <w:sz w:val="36"/>
      <w:szCs w:val="36"/>
    </w:rPr>
  </w:style>
  <w:style w:type="paragraph" w:styleId="Heading2">
    <w:name w:val="heading 2"/>
    <w:basedOn w:val="Normal"/>
    <w:next w:val="Normal"/>
    <w:pPr>
      <w:keepNext w:val="1"/>
      <w:keepLines w:val="1"/>
      <w:spacing w:after="0" w:before="200" w:lineRule="auto"/>
    </w:pPr>
    <w:rPr>
      <w:rFonts w:ascii="Arial" w:cs="Arial" w:eastAsia="Arial" w:hAnsi="Arial"/>
      <w:b w:val="1"/>
      <w:bCs w:val="1"/>
      <w:i w:val="0"/>
      <w:iCs w:val="0"/>
      <w:color w:val="317de2"/>
      <w:sz w:val="28"/>
      <w:szCs w:val="28"/>
    </w:rPr>
  </w:style>
  <w:style w:type="paragraph" w:styleId="Heading3">
    <w:name w:val="heading 3"/>
    <w:basedOn w:val="Normal"/>
    <w:next w:val="Normal"/>
    <w:pPr>
      <w:keepNext w:val="1"/>
      <w:keepLines w:val="1"/>
      <w:spacing w:after="0" w:before="200" w:lineRule="auto"/>
    </w:pPr>
    <w:rPr>
      <w:rFonts w:ascii="Arial" w:cs="Arial" w:eastAsia="Arial" w:hAnsi="Arial"/>
      <w:b w:val="1"/>
      <w:bCs w:val="1"/>
      <w:i w:val="0"/>
      <w:iCs w:val="0"/>
      <w:color w:val="1c3231"/>
      <w:sz w:val="24"/>
      <w:szCs w:val="24"/>
    </w:rPr>
  </w:style>
  <w:style w:type="paragraph" w:styleId="Heading4">
    <w:name w:val="heading 4"/>
    <w:basedOn w:val="Normal"/>
    <w:next w:val="Normal"/>
    <w:pPr>
      <w:keepNext w:val="1"/>
      <w:keepLines w:val="1"/>
      <w:spacing w:after="0" w:before="200" w:lineRule="auto"/>
    </w:pPr>
    <w:rPr>
      <w:rFonts w:ascii="Arial" w:cs="Arial" w:eastAsia="Arial" w:hAnsi="Arial"/>
      <w:b w:val="1"/>
      <w:bCs w:val="1"/>
      <w:i w:val="0"/>
      <w:iCs w:val="0"/>
      <w:color w:val="1c3231"/>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Arial" w:cs="Arial" w:eastAsia="Arial" w:hAnsi="Arial"/>
      <w:b w:val="1"/>
      <w:bCs w:val="1"/>
      <w:color w:val="1c3231"/>
      <w:sz w:val="48"/>
      <w:szCs w:val="48"/>
    </w:rPr>
  </w:style>
  <w:style w:type="paragraph" w:styleId="BodyText">
    <w:name w:val="Body Text"/>
    <w:basedOn w:val="Normal"/>
    <w:link w:val="BodyTextChar"/>
    <w:qFormat w:val="1"/>
    <w:pPr>
      <w:spacing w:after="180" w:before="180"/>
    </w:pPr>
    <w:rPr>
      <w:rFonts w:ascii="Arial" w:cs="Arial" w:eastAsia="Arial" w:hAnsi="Arial"/>
      <w:color w:val="284745"/>
      <w:sz w:val="21"/>
    </w:rPr>
  </w:style>
  <w:style w:type="paragraph" w:styleId="FirstParagraph" w:customStyle="1">
    <w:name w:val="First Paragraph"/>
    <w:basedOn w:val="BodyText"/>
    <w:next w:val="BodyText"/>
    <w:qFormat w:val="1"/>
    <w:rPr>
      <w:rFonts w:ascii="Arial" w:cs="Arial" w:eastAsia="Arial" w:hAnsi="Arial"/>
      <w:color w:val="284745"/>
      <w:sz w:val="21"/>
    </w:rPr>
  </w:style>
  <w:style w:type="paragraph" w:styleId="Compact" w:customStyle="1">
    <w:name w:val="Compact"/>
    <w:basedOn w:val="BodyText"/>
    <w:qFormat w:val="1"/>
    <w:pPr>
      <w:spacing w:after="36" w:before="36"/>
    </w:pPr>
    <w:rPr>
      <w:rFonts w:ascii="Arial" w:cs="Arial" w:eastAsia="Arial" w:hAnsi="Arial"/>
      <w:color w:val="284745"/>
      <w:sz w:val="21"/>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rPr>
      <w:rFonts w:ascii="Arial" w:cs="Arial" w:eastAsia="Arial" w:hAnsi="Arial"/>
      <w:color w:val="284745"/>
      <w:sz w:val="21"/>
    </w:r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Arial" w:cs="Arial" w:eastAsia="Arial" w:hAnsi="Arial"/>
      <w:b w:val="1"/>
      <w:bCs w:val="1"/>
      <w:color w:val="284745"/>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3NGnJ+ZdbPOKm3+6HCIDb10f3Q==">CgMxLjAaJAoBMBIfCh0IB0IZCgVBcmlhbBIQQXJpYWwgVW5pY29kZSBNUzgAciExTXE1WEVGWXhQaXd3WUVDNmxfT243b1BtaWc5M2RRM1g=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2026-10-12T20:46:03Z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Proyecto APT · Capstone 003D · Duoc UC — 12-10-2026</vt:lpwstr>
  </property>
</Properties>
</file>