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sprint-reviews--terrafoco"/>
    <w:p>
      <w:pPr>
        <w:pStyle w:val="Heading1"/>
      </w:pPr>
      <w:r>
        <w:t xml:space="preserve">Sprint Reviews — TerraFoco</w:t>
      </w:r>
    </w:p>
    <w:p>
      <w:pPr>
        <w:pStyle w:val="FirstParagraph"/>
      </w:pPr>
      <w:r>
        <w:t xml:space="preserve">Revisiones de sprint con la docente guía. Corte: 05-10-2026.</w:t>
      </w:r>
    </w:p>
    <w:bookmarkStart w:id="23" w:name="sprint-1--sprint-review"/>
    <w:p>
      <w:pPr>
        <w:pStyle w:val="Heading2"/>
      </w:pPr>
      <w:r>
        <w:t xml:space="preserve">Sprint 1 — Sprint Review</w:t>
      </w:r>
    </w:p>
    <w:p>
      <w:pPr>
        <w:pStyle w:val="BlockText"/>
      </w:pPr>
      <w:r>
        <w:rPr>
          <w:bCs/>
          <w:b/>
        </w:rPr>
        <w:t xml:space="preserve">Completar por el equipo:</w:t>
      </w:r>
      <w:r>
        <w:t xml:space="preserve"> </w:t>
      </w:r>
      <w:r>
        <w:t xml:space="preserve">la columna</w:t>
      </w:r>
      <w:r>
        <w:t xml:space="preserve"> </w:t>
      </w:r>
      <w:r>
        <w:rPr>
          <w:iCs/>
          <w:i/>
        </w:rPr>
        <w:t xml:space="preserve">¿Aceptada?</w:t>
      </w:r>
      <w:r>
        <w:t xml:space="preserve"> </w:t>
      </w:r>
      <w:r>
        <w:t xml:space="preserve">y la retroalimentación</w:t>
      </w:r>
      <w:r>
        <w:t xml:space="preserve"> </w:t>
      </w:r>
      <w:r>
        <w:t xml:space="preserve">de la docente no quedaron registradas en su momento. Lo demás sale del</w:t>
      </w:r>
      <w:r>
        <w:t xml:space="preserve"> </w:t>
      </w:r>
      <w:r>
        <w:t xml:space="preserve">repositorio.</w:t>
      </w:r>
    </w:p>
    <w:p>
      <w:pPr>
        <w:pStyle w:val="FirstParagraph"/>
      </w:pPr>
      <w:r>
        <w:rPr>
          <w:bCs/>
          <w:b/>
        </w:rPr>
        <w:t xml:space="preserve">Fecha:</w:t>
      </w:r>
      <w:r>
        <w:t xml:space="preserve"> </w:t>
      </w:r>
      <w:r>
        <w:t xml:space="preserve">viernes 18-09-2026 ·</w:t>
      </w:r>
      <w:r>
        <w:t xml:space="preserve"> </w:t>
      </w:r>
      <w:r>
        <w:rPr>
          <w:bCs/>
          <w:b/>
        </w:rPr>
        <w:t xml:space="preserve">Asistentes:</w:t>
      </w:r>
      <w:r>
        <w:t xml:space="preserve"> </w:t>
      </w:r>
      <w:r>
        <w:t xml:space="preserve">equipo y docente guía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C9CFCC"/>
          <w:left w:val="single" w:sz="4" w:color="C9CFCC"/>
          <w:bottom w:val="single" w:sz="4" w:color="C9CFCC"/>
          <w:right w:val="single" w:sz="4" w:color="C9CFCC"/>
          <w:insideH w:val="single" w:sz="4" w:color="C9CFCC"/>
          <w:insideV w:val="single" w:sz="4" w:color="C9CFCC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317DE2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ID</w:t>
            </w:r>
          </w:p>
        </w:tc>
        <w:tc>
          <w:tcPr>
            <w:shd w:val="clear" w:color="auto" w:fill="317DE2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Historia</w:t>
            </w:r>
          </w:p>
        </w:tc>
        <w:tc>
          <w:tcPr>
            <w:shd w:val="clear" w:color="auto" w:fill="317DE2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Qué se demuestra</w:t>
            </w:r>
          </w:p>
        </w:tc>
        <w:tc>
          <w:tcPr>
            <w:shd w:val="clear" w:color="auto" w:fill="317DE2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¿Aceptada?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Erosión por comuna con RUSLE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python -m calcular</w:t>
            </w:r>
            <w:r>
              <w:rPr>
                <w:sz w:val="19"/>
              </w:rPr>
              <w:t xml:space="preserve">: tabla de las 33 comunas con sus cinco factores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3F6F4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HU-12</w:t>
            </w:r>
          </w:p>
        </w:tc>
        <w:tc>
          <w:tcPr>
            <w:shd w:val="clear" w:color="auto" w:fill="F3F6F4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Comparación con CIREN</w:t>
            </w:r>
          </w:p>
        </w:tc>
        <w:tc>
          <w:tcPr>
            <w:shd w:val="clear" w:color="auto" w:fill="F3F6F4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Las seis comunas fuera del dominio de validez y su fundamento</w:t>
            </w:r>
          </w:p>
        </w:tc>
        <w:tc>
          <w:tcPr>
            <w:shd w:val="clear" w:color="auto" w:fill="F3F6F4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HU-13, HU-14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Índice de pertinencia y ranking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/pertinencia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en la API y la pantalla de pertinencia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3F6F4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HU-20 a HU-22</w:t>
            </w:r>
          </w:p>
        </w:tc>
        <w:tc>
          <w:tcPr>
            <w:shd w:val="clear" w:color="auto" w:fill="F3F6F4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Visor, capas y ficha comunal</w:t>
            </w:r>
          </w:p>
        </w:tc>
        <w:tc>
          <w:tcPr>
            <w:shd w:val="clear" w:color="auto" w:fill="F3F6F4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Navegación del visor con cartografía real de la región</w:t>
            </w:r>
          </w:p>
        </w:tc>
        <w:tc>
          <w:tcPr>
            <w:shd w:val="clear" w:color="auto" w:fill="F3F6F4"/>
          </w:tcPr>
          <w:p>
            <w:pPr>
              <w:pStyle w:val="Compact"/>
            </w:pPr>
          </w:p>
        </w:tc>
      </w:tr>
    </w:tbl>
    <w:bookmarkStart w:id="20" w:name="punto-central-del-incremento"/>
    <w:p>
      <w:pPr>
        <w:pStyle w:val="Heading3"/>
      </w:pPr>
      <w:r>
        <w:t xml:space="preserve">Punto central del incremento</w:t>
      </w:r>
    </w:p>
    <w:p>
      <w:pPr>
        <w:pStyle w:val="FirstParagraph"/>
      </w:pPr>
      <w:r>
        <w:t xml:space="preserve">El dominio de validez es un resultado negativo: el modelo no sirve en seis de</w:t>
      </w:r>
      <w:r>
        <w:t xml:space="preserve"> </w:t>
      </w:r>
      <w:r>
        <w:t xml:space="preserve">las 33 comunas. Declararlo es lo que permite confiar en el resto.</w:t>
      </w:r>
    </w:p>
    <w:bookmarkEnd w:id="20"/>
    <w:bookmarkStart w:id="21" w:name="retroalimentación-recibida"/>
    <w:p>
      <w:pPr>
        <w:pStyle w:val="Heading3"/>
      </w:pPr>
      <w:r>
        <w:t xml:space="preserve">Retroalimentación recibida</w:t>
      </w:r>
    </w:p>
    <w:bookmarkEnd w:id="21"/>
    <w:bookmarkStart w:id="22" w:name="X828daf393c224d3c43a85db05b149065ba6e0ea"/>
    <w:p>
      <w:pPr>
        <w:pStyle w:val="Heading3"/>
      </w:pPr>
      <w:r>
        <w:t xml:space="preserve">Trabajo que siguió en el Sprint 2 (según el repositorio)</w:t>
      </w:r>
    </w:p>
    <w:p>
      <w:pPr>
        <w:numPr>
          <w:ilvl w:val="0"/>
          <w:numId w:val="1002"/>
        </w:numPr>
        <w:pStyle w:val="Compact"/>
      </w:pPr>
      <w:r>
        <w:t xml:space="preserve">La inversión de un solo año se reemplazó por la serie 2012–2025 del SIRSD-S (HU-34).</w:t>
      </w:r>
    </w:p>
    <w:p>
      <w:pPr>
        <w:numPr>
          <w:ilvl w:val="0"/>
          <w:numId w:val="1002"/>
        </w:numPr>
        <w:pStyle w:val="Compact"/>
      </w:pPr>
      <w:r>
        <w:t xml:space="preserve">Se quitaron del visor los datos de ejemplo y las cifras escritas a mano (22-09).</w:t>
      </w:r>
    </w:p>
    <w:bookmarkEnd w:id="22"/>
    <w:bookmarkEnd w:id="23"/>
    <w:bookmarkStart w:id="26" w:name="sprint-2--sprint-review"/>
    <w:p>
      <w:pPr>
        <w:pStyle w:val="Heading2"/>
      </w:pPr>
      <w:r>
        <w:t xml:space="preserve">Sprint 2 — Sprint Review</w:t>
      </w:r>
    </w:p>
    <w:p>
      <w:pPr>
        <w:pStyle w:val="BlockText"/>
      </w:pPr>
      <w:r>
        <w:t xml:space="preserve">Preparada el 05-10 para la revisión del viernes 09-10. Completar la columna</w:t>
      </w:r>
      <w:r>
        <w:t xml:space="preserve"> </w:t>
      </w:r>
      <w:r>
        <w:rPr>
          <w:iCs/>
          <w:i/>
        </w:rPr>
        <w:t xml:space="preserve">¿Aceptada?</w:t>
      </w:r>
      <w:r>
        <w:t xml:space="preserve"> </w:t>
      </w:r>
      <w:r>
        <w:t xml:space="preserve">y la retroalimentación el mismo día.</w:t>
      </w:r>
    </w:p>
    <w:p>
      <w:pPr>
        <w:pStyle w:val="FirstParagraph"/>
      </w:pPr>
      <w:r>
        <w:rPr>
          <w:bCs/>
          <w:b/>
        </w:rPr>
        <w:t xml:space="preserve">Fecha:</w:t>
      </w:r>
      <w:r>
        <w:t xml:space="preserve"> </w:t>
      </w:r>
      <w:r>
        <w:t xml:space="preserve">viernes 09-10-2026 ·</w:t>
      </w:r>
      <w:r>
        <w:t xml:space="preserve"> </w:t>
      </w:r>
      <w:r>
        <w:rPr>
          <w:bCs/>
          <w:b/>
        </w:rPr>
        <w:t xml:space="preserve">Asistentes:</w:t>
      </w:r>
      <w:r>
        <w:t xml:space="preserve"> </w:t>
      </w:r>
      <w:r>
        <w:t xml:space="preserve">equipo y docente guía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C9CFCC"/>
          <w:left w:val="single" w:sz="4" w:color="C9CFCC"/>
          <w:bottom w:val="single" w:sz="4" w:color="C9CFCC"/>
          <w:right w:val="single" w:sz="4" w:color="C9CFCC"/>
          <w:insideH w:val="single" w:sz="4" w:color="C9CFCC"/>
          <w:insideV w:val="single" w:sz="4" w:color="C9CFCC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317DE2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Historias</w:t>
            </w:r>
          </w:p>
        </w:tc>
        <w:tc>
          <w:tcPr>
            <w:shd w:val="clear" w:color="auto" w:fill="317DE2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Qué se demuestra</w:t>
            </w:r>
          </w:p>
        </w:tc>
        <w:tc>
          <w:tcPr>
            <w:shd w:val="clear" w:color="auto" w:fill="317DE2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¿Aceptada?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HU-07, HU-08, HU-34, HU-35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Pantalla de pertinencia con la inversión 2012–2025 en UF por hectárea erosionada y su evolución anual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3F6F4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HU-15, HU-16, HU-17, HU-37</w:t>
            </w:r>
          </w:p>
        </w:tc>
        <w:tc>
          <w:tcPr>
            <w:shd w:val="clear" w:color="auto" w:fill="F3F6F4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Visor de inundaciones: índice, explorador de pesos, eventos históricos y población expuesta</w:t>
            </w:r>
          </w:p>
        </w:tc>
        <w:tc>
          <w:tcPr>
            <w:shd w:val="clear" w:color="auto" w:fill="F3F6F4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HU-18, HU-19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Ciudades: temperatura por celda y déficit de áreas verdes por zona censal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3F6F4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HU-36</w:t>
            </w:r>
          </w:p>
        </w:tc>
        <w:tc>
          <w:tcPr>
            <w:shd w:val="clear" w:color="auto" w:fill="F3F6F4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Ficha comunal con detalle a 30 m y modelo 3D</w:t>
            </w:r>
          </w:p>
        </w:tc>
        <w:tc>
          <w:tcPr>
            <w:shd w:val="clear" w:color="auto" w:fill="F3F6F4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HU-23, HU-40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Exportar CSV/KML y «Mis predios» con un CSV de ejemplo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3F6F4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HU-32, HU-33</w:t>
            </w:r>
          </w:p>
        </w:tc>
        <w:tc>
          <w:tcPr>
            <w:shd w:val="clear" w:color="auto" w:fill="F3F6F4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Catálogo de fuentes: cambio de estado con clave de administración</w:t>
            </w:r>
          </w:p>
        </w:tc>
        <w:tc>
          <w:tcPr>
            <w:shd w:val="clear" w:color="auto" w:fill="F3F6F4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HU-39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El sistema corriendo desde la copia portable</w:t>
            </w:r>
          </w:p>
        </w:tc>
        <w:tc>
          <w:tcPr/>
          <w:p>
            <w:pPr>
              <w:pStyle w:val="Compact"/>
            </w:pPr>
          </w:p>
        </w:tc>
      </w:tr>
    </w:tbl>
    <w:bookmarkStart w:id="24" w:name="retroalimentación-recibida-1"/>
    <w:p>
      <w:pPr>
        <w:pStyle w:val="Heading3"/>
      </w:pPr>
      <w:r>
        <w:t xml:space="preserve">Retroalimentación recibida</w:t>
      </w:r>
    </w:p>
    <w:bookmarkEnd w:id="24"/>
    <w:bookmarkStart w:id="25" w:name="X3254df29a9b8829f519e6d97fb1841e4a76ba06"/>
    <w:p>
      <w:pPr>
        <w:pStyle w:val="Heading3"/>
      </w:pPr>
      <w:r>
        <w:t xml:space="preserve">Qué entra al backlog a partir de la revisión</w:t>
      </w:r>
    </w:p>
    <w:bookmarkEnd w:id="25"/>
    <w:bookmarkEnd w:id="26"/>
    <w:bookmarkEnd w:id="27"/>
    <w:sectPr>
      <w:headerReference w:type="default" r:id="rId9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Arial" w:hAnsi="Arial"/>
        <w:color w:val="8A9391"/>
        <w:sz w:val="16"/>
      </w:rPr>
      <w:t>TerraFoco · Capstone 003D · Duoc UC — Sprint Reviews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color w:val="284745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eastAsia="Arial" w:hAnsi="Arial"/>
      <w:color w:val="284745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  <w:color w:val="284745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  <w:color w:val="284745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="Arial" w:hAnsi="Arial"/>
      <w:b/>
      <w:bCs/>
      <w:color w:val="1C3231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Arial" w:hAnsi="Arial"/>
      <w:color w:val="284745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cs="Arial" w:eastAsia="Arial" w:hAnsi="Arial"/>
      <w:b/>
      <w:bCs/>
      <w:i w:val="0"/>
      <w:color w:val="1C3231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cs="Arial" w:eastAsia="Arial" w:hAnsi="Arial"/>
      <w:b/>
      <w:bCs/>
      <w:i w:val="0"/>
      <w:color w:val="317DE2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cs="Arial" w:eastAsia="Arial" w:hAnsi="Arial"/>
      <w:b/>
      <w:bCs/>
      <w:i w:val="0"/>
      <w:color w:val="1C3231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cs="Arial" w:eastAsia="Arial" w:hAnsi="Arial"/>
      <w:i w:val="0"/>
      <w:b/>
      <w:bCs/>
      <w:color w:val="1C3231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  <w:color w:val="284745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2026-10-05T21:25:48Z</dcterms:created>
  <dcterms:modified xsi:type="dcterms:W3CDTF">2026-10-05T21:25:48Z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