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isión-del-producto--terrafoco"/>
    <w:p>
      <w:pPr>
        <w:pStyle w:val="Heading1"/>
      </w:pPr>
      <w:r>
        <w:t xml:space="preserve">Visión del producto — TerraFoco</w:t>
      </w:r>
    </w:p>
    <w:p>
      <w:pPr>
        <w:pStyle w:val="FirstParagraph"/>
      </w:pPr>
      <w:r>
        <w:t xml:space="preserve">La visión es el norte que guía las decisiones del Product Owner: cada historia</w:t>
      </w:r>
      <w:r>
        <w:t xml:space="preserve"> </w:t>
      </w:r>
      <w:r>
        <w:t xml:space="preserve">del backlog debe acercar el producto a ella. Se</w:t>
      </w:r>
      <w:r>
        <w:t xml:space="preserve"> </w:t>
      </w:r>
      <w:r>
        <w:t xml:space="preserve">estructura con el</w:t>
      </w:r>
      <w:r>
        <w:t xml:space="preserve"> </w:t>
      </w:r>
      <w:r>
        <w:rPr>
          <w:iCs/>
          <w:i/>
        </w:rPr>
        <w:t xml:space="preserve">Product Vision Board</w:t>
      </w:r>
      <w:r>
        <w:t xml:space="preserve"> </w:t>
      </w:r>
      <w:r>
        <w:t xml:space="preserve">(Roman Pichler) y se resume con la</w:t>
      </w:r>
      <w:r>
        <w:t xml:space="preserve"> </w:t>
      </w:r>
      <w:r>
        <w:t xml:space="preserve">plantilla de Geoffrey Moore.</w:t>
      </w:r>
    </w:p>
    <w:p>
      <w:r>
        <w:pict>
          <v:rect style="width:0;height:1.5pt" o:hralign="center" o:hrstd="t" o:hr="t"/>
        </w:pict>
      </w:r>
    </w:p>
    <w:bookmarkStart w:id="20" w:name="X160185d432e74e87a1614b58545c39db809b8fd"/>
    <w:p>
      <w:pPr>
        <w:pStyle w:val="Heading2"/>
      </w:pPr>
      <w:r>
        <w:t xml:space="preserve">1. Declaración de visión</w:t>
      </w:r>
    </w:p>
    <w:p>
      <w:pPr>
        <w:pStyle w:val="BlockText"/>
      </w:pPr>
      <w:r>
        <w:rPr>
          <w:bCs/>
          <w:b/>
        </w:rPr>
        <w:t xml:space="preserve">Que la inversión pública en recuperación de suelos llegue a los territorios</w:t>
      </w:r>
      <w:r>
        <w:rPr>
          <w:bCs/>
          <w:b/>
        </w:rPr>
        <w:t xml:space="preserve"> </w:t>
      </w:r>
      <w:r>
        <w:rPr>
          <w:bCs/>
          <w:b/>
        </w:rPr>
        <w:t xml:space="preserve">que más la necesitan, y que se pueda demostrar con datos abiertos.</w:t>
      </w:r>
    </w:p>
    <w:p>
      <w:r>
        <w:pict>
          <v:rect style="width:0;height:1.5pt" o:hralign="center" o:hrstd="t" o:hr="t"/>
        </w:pict>
      </w:r>
    </w:p>
    <w:bookmarkEnd w:id="20"/>
    <w:bookmarkStart w:id="21" w:name="X9f1945b890029ed736e512fca2323f6f05cd63f"/>
    <w:p>
      <w:pPr>
        <w:pStyle w:val="Heading2"/>
      </w:pPr>
      <w:r>
        <w:t xml:space="preserve">2. En una frase (plantilla de Moore)</w:t>
      </w:r>
    </w:p>
    <w:p>
      <w:pPr>
        <w:pStyle w:val="FirstParagraph"/>
      </w:pPr>
      <w:r>
        <w:rPr>
          <w:bCs/>
          <w:b/>
        </w:rPr>
        <w:t xml:space="preserve">Para</w:t>
      </w:r>
      <w:r>
        <w:t xml:space="preserve"> </w:t>
      </w:r>
      <w:r>
        <w:t xml:space="preserve">los equipos técnicos de INDAP y otros servicios públicos del agro</w:t>
      </w:r>
      <w:r>
        <w:t xml:space="preserve"> </w:t>
      </w:r>
      <w:r>
        <w:rPr>
          <w:bCs/>
          <w:b/>
        </w:rPr>
        <w:t xml:space="preserve">que necesitan</w:t>
      </w:r>
      <w:r>
        <w:t xml:space="preserve"> </w:t>
      </w:r>
      <w:r>
        <w:t xml:space="preserve">saber si los recursos del programa SIRSD-S se están asignando</w:t>
      </w:r>
      <w:r>
        <w:t xml:space="preserve"> </w:t>
      </w:r>
      <w:r>
        <w:t xml:space="preserve">donde el suelo está más degradado,</w:t>
      </w:r>
      <w:r>
        <w:t xml:space="preserve"> </w:t>
      </w:r>
      <w:r>
        <w:rPr>
          <w:bCs/>
          <w:b/>
        </w:rPr>
        <w:t xml:space="preserve">TerraFoco es</w:t>
      </w:r>
      <w:r>
        <w:t xml:space="preserve"> </w:t>
      </w:r>
      <w:r>
        <w:t xml:space="preserve">una plataforma web de análisis geoespacial</w:t>
      </w:r>
      <w:r>
        <w:t xml:space="preserve"> </w:t>
      </w:r>
      <w:r>
        <w:rPr>
          <w:bCs/>
          <w:b/>
        </w:rPr>
        <w:t xml:space="preserve">que</w:t>
      </w:r>
      <w:r>
        <w:t xml:space="preserve"> </w:t>
      </w:r>
      <w:r>
        <w:t xml:space="preserve">cruza el estado del territorio, medido desde imágenes satelitales</w:t>
      </w:r>
      <w:r>
        <w:t xml:space="preserve"> </w:t>
      </w:r>
      <w:r>
        <w:t xml:space="preserve">públicas, con la ejecución real del programa, comuna por comuna.</w:t>
      </w:r>
      <w:r>
        <w:t xml:space="preserve"> </w:t>
      </w:r>
      <w:r>
        <w:rPr>
          <w:bCs/>
          <w:b/>
        </w:rPr>
        <w:t xml:space="preserve">A diferencia de</w:t>
      </w:r>
      <w:r>
        <w:t xml:space="preserve"> </w:t>
      </w:r>
      <w:r>
        <w:t xml:space="preserve">los inventarios de erosión existentes (CIREN), que</w:t>
      </w:r>
      <w:r>
        <w:t xml:space="preserve"> </w:t>
      </w:r>
      <w:r>
        <w:t xml:space="preserve">describen el problema pero no la respuesta del Estado,</w:t>
      </w:r>
      <w:r>
        <w:t xml:space="preserve"> </w:t>
      </w:r>
      <w:r>
        <w:rPr>
          <w:bCs/>
          <w:b/>
        </w:rPr>
        <w:t xml:space="preserve">nuestro producto</w:t>
      </w:r>
      <w:r>
        <w:t xml:space="preserve"> </w:t>
      </w:r>
      <w:r>
        <w:t xml:space="preserve">mide la</w:t>
      </w:r>
      <w:r>
        <w:t xml:space="preserve"> </w:t>
      </w:r>
      <w:r>
        <w:rPr>
          <w:bCs/>
          <w:b/>
        </w:rPr>
        <w:t xml:space="preserve">pertinencia territorial de la inversión</w:t>
      </w:r>
      <w:r>
        <w:t xml:space="preserve">:</w:t>
      </w:r>
      <w:r>
        <w:t xml:space="preserve"> </w:t>
      </w:r>
      <w:r>
        <w:t xml:space="preserve">dónde la necesidad es alta y la intervención baja, y declara dónde su modelo es</w:t>
      </w:r>
      <w:r>
        <w:t xml:space="preserve"> </w:t>
      </w:r>
      <w:r>
        <w:t xml:space="preserve">válido y dónde no.</w:t>
      </w:r>
    </w:p>
    <w:p>
      <w:r>
        <w:pict>
          <v:rect style="width:0;height:1.5pt" o:hralign="center" o:hrstd="t" o:hr="t"/>
        </w:pict>
      </w:r>
    </w:p>
    <w:bookmarkEnd w:id="21"/>
    <w:bookmarkStart w:id="22" w:name="Xc33aa3d1d8812358e3e72002fbc637aa0f7a885"/>
    <w:p>
      <w:pPr>
        <w:pStyle w:val="Heading2"/>
      </w:pPr>
      <w:r>
        <w:t xml:space="preserve">3. Product Vision 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Grupo objetivo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Necesidades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Producto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Objetivos (valor)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Encargado de programa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(INDAP): decide dónde focalizar el SIRSD-S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Saber qué comunas reciben poco en relación con su degradación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Índice de pertinencia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comuna con ranking de brecha y su evolución 2012–2025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Focalizar mejor la inversión pública con evidencia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Analista territorial</w:t>
            </w:r>
            <w:r>
              <w:rPr>
                <w:sz w:val="19"/>
              </w:rPr>
              <w:t xml:space="preserve">: estudia el territorio sin ser experto en SIG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Indicadores listos, comprensibles y con unidad de medida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Visor cartográfico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 fichas comunales y detalle a 30 m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Reducir el tiempo de análisis de semanas a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Administrador de datos</w:t>
            </w:r>
            <w:r>
              <w:rPr>
                <w:sz w:val="19"/>
              </w:rPr>
              <w:t xml:space="preserve">: mantiene las fuentes al día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Ingestas automáticas, trazables y que no mezclen datos parciales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Motor de ingesta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 programador de tareas, bitácora y catálogo de fuentes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reproducibles y auditables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Contraparte institucional y ciudadanía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Confiar en el resultado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Validación declarada (CIREN, eventos históricos, entrega oficial) y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dominio de validez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Transparencia: decir también dónde el modelo no sirve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12a2ba0f731035a30fc8861c2ba0a3c24876d51"/>
    <w:p>
      <w:pPr>
        <w:pStyle w:val="Heading2"/>
      </w:pPr>
      <w:r>
        <w:t xml:space="preserve">4. Qué hace el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Módulo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Pregunta que responde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Núcleo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¿De dónde salen los datos y están al día?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Crítica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Módulo 1 · Suelos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¿Dónde hay más erosión y cuánto invierte ahí el SIRSD-S?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Crítica — es el corazón del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Visor y tablero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¿Puede usarlo alguien sin formación informática?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Módulo 2 · Inundaciones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¿Qué territorios y qué población están expuestos a inundación?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Módulo 3 · Ciudades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¿Dónde hay islas de calor y déficit de áreas verdes?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Baja — primer candidato a recorte</w:t>
            </w:r>
          </w:p>
        </w:tc>
      </w:tr>
    </w:tbl>
    <w:p>
      <w:pPr>
        <w:pStyle w:val="BodyText"/>
      </w:pPr>
      <w:r>
        <w:t xml:space="preserve">Región piloto:</w:t>
      </w:r>
      <w:r>
        <w:t xml:space="preserve"> </w:t>
      </w:r>
      <w:r>
        <w:rPr>
          <w:bCs/>
          <w:b/>
        </w:rPr>
        <w:t xml:space="preserve">Libertador General Bernardo O'Higgins, 33 comunas</w:t>
      </w:r>
      <w:r>
        <w:t xml:space="preserve">, a 30 m de</w:t>
      </w:r>
      <w:r>
        <w:t xml:space="preserve"> </w:t>
      </w:r>
      <w:r>
        <w:t xml:space="preserve">resolución. El techo de escalabilidad es la cobertura del inventario de CIREN</w:t>
      </w:r>
      <w:r>
        <w:t xml:space="preserve"> </w:t>
      </w:r>
      <w:r>
        <w:t xml:space="preserve">(hasta Los Lagos).</w:t>
      </w:r>
    </w:p>
    <w:p>
      <w:r>
        <w:pict>
          <v:rect style="width:0;height:1.5pt" o:hralign="center" o:hrstd="t" o:hr="t"/>
        </w:pict>
      </w:r>
    </w:p>
    <w:bookmarkEnd w:id="23"/>
    <w:bookmarkStart w:id="24" w:name="X9996c5c92ce3dd88cbadd5ce0c0ae71908a017e"/>
    <w:p>
      <w:pPr>
        <w:pStyle w:val="Heading2"/>
      </w:pPr>
      <w:r>
        <w:t xml:space="preserve">5. Qué no es TerraFoco</w:t>
      </w:r>
    </w:p>
    <w:p>
      <w:pPr>
        <w:numPr>
          <w:ilvl w:val="0"/>
          <w:numId w:val="1001"/>
        </w:numPr>
        <w:pStyle w:val="Compact"/>
      </w:pPr>
      <w:r>
        <w:t xml:space="preserve">No es un modelo hidrodinámico ni predice eventos.</w:t>
      </w:r>
    </w:p>
    <w:p>
      <w:pPr>
        <w:numPr>
          <w:ilvl w:val="0"/>
          <w:numId w:val="1001"/>
        </w:numPr>
        <w:pStyle w:val="Compact"/>
      </w:pPr>
      <w:r>
        <w:t xml:space="preserve">No publica información predial ni datos personales de beneficiarios: todo se</w:t>
      </w:r>
      <w:r>
        <w:t xml:space="preserve"> </w:t>
      </w:r>
      <w:r>
        <w:t xml:space="preserve">agrega por comuna.</w:t>
      </w:r>
    </w:p>
    <w:p>
      <w:pPr>
        <w:numPr>
          <w:ilvl w:val="0"/>
          <w:numId w:val="1001"/>
        </w:numPr>
        <w:pStyle w:val="Compact"/>
      </w:pPr>
      <w:r>
        <w:t xml:space="preserve">No reemplaza el inventario de CIREN; lo complementa con la dimensión de la</w:t>
      </w:r>
      <w:r>
        <w:t xml:space="preserve"> </w:t>
      </w:r>
      <w:r>
        <w:t xml:space="preserve">inversión.</w:t>
      </w:r>
    </w:p>
    <w:p>
      <w:pPr>
        <w:numPr>
          <w:ilvl w:val="0"/>
          <w:numId w:val="1001"/>
        </w:numPr>
        <w:pStyle w:val="Compact"/>
      </w:pPr>
      <w:r>
        <w:t xml:space="preserve">No es un sistema en producción institucional: se despliega en ambiente de</w:t>
      </w:r>
      <w:r>
        <w:t xml:space="preserve"> </w:t>
      </w:r>
      <w:r>
        <w:t xml:space="preserve">prueba.</w:t>
      </w:r>
    </w:p>
    <w:p>
      <w:r>
        <w:pict>
          <v:rect style="width:0;height:1.5pt" o:hralign="center" o:hrstd="t" o:hr="t"/>
        </w:pict>
      </w:r>
    </w:p>
    <w:bookmarkEnd w:id="24"/>
    <w:bookmarkStart w:id="25" w:name="Xa30df44c07fb880ddc15e2ea3efd65b642e38a4"/>
    <w:p>
      <w:pPr>
        <w:pStyle w:val="Heading2"/>
      </w:pPr>
      <w:r>
        <w:t xml:space="preserve">6. Cómo sabremos que lo logramos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Indicador de éxito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Meta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Estado al 05-10-2026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Comunas con índice de pertinencia calculado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33 de 33 (o declaradas fuera de dominio)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27 de 33 con índice (commit 7207aa7, 02-10). Seis comunas están fuera del dominio de validez de RUSLE; falta confirmar que son las mismas seis sin índice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Indicadores validados contra una fuente independiente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Los tres módulos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Erosión (CIREN), inundación (eventos históricos), inversión (entrega oficial INDAP)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Usuarios sin formación informática que completan las tres tareas del plan de usabilidad sin ayuda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 de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Prueba pendiente (Sprint 3)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Revisión de la utilidad del índice por la contraparte (INDAP)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Retroalimentación documentada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Pendiente (Sprint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Acceso sin instalar 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Visor en un navegador, por URL pública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portable y Codespaces listos; servidor público pendiente</w:t>
            </w:r>
          </w:p>
        </w:tc>
      </w:tr>
    </w:tbl>
    <w:bookmarkEnd w:id="25"/>
    <w:bookmarkEnd w:id="26"/>
    <w:sectPr>
      <w:headerReference w:type="default" r:id="rId9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8A9391"/>
        <w:sz w:val="16"/>
      </w:rPr>
      <w:t>TerraFoco · Capstone 003D · Duoc UC — Visión del producto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284745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284745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284745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284745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C3231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color w:val="28474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i w:val="0"/>
      <w:color w:val="1C323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i w:val="0"/>
      <w:color w:val="317DE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i w:val="0"/>
      <w:color w:val="1C3231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 w:val="0"/>
      <w:b/>
      <w:bCs/>
      <w:color w:val="1C3231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284745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2026-10-05T21:25:48Z</dcterms:created>
  <dcterms:modified xsi:type="dcterms:W3CDTF">2026-10-05T21:25:48Z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