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klpkzutol7t" w:id="0"/>
      <w:bookmarkEnd w:id="0"/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commentRangeStart w:id="0"/>
      <w:r w:rsidDel="00000000" w:rsidR="00000000" w:rsidRPr="00000000">
        <w:rPr>
          <w:rtl w:val="0"/>
        </w:rPr>
        <w:t xml:space="preserve">The test_html files in TTS/test/ cannot be converted properly.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we should ignore the dash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Seems the punctuation can cause the problem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test unknown words like Café, Fiancé. These are non-English alphabet words that may appear in English articles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91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962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nhomx2vsh6y8" w:id="1"/>
      <w:bookmarkEnd w:id="1"/>
      <w:r w:rsidDel="00000000" w:rsidR="00000000" w:rsidRPr="00000000">
        <w:rPr>
          <w:rtl w:val="0"/>
        </w:rPr>
        <w:t xml:space="preserve">Template of test cases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is recommended to provide specific test data. Like the email content (just one sentence is enough, or you could provide a summary, such as embedding non-English vocabulary in the email body).</w:t>
        <w:br w:type="textWrapping"/>
        <w:t xml:space="preserve">The same functionality can have multiple test cases written for it, which can be distinguished using unique identifiers.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bxeod28pznwg" w:id="2"/>
      <w:bookmarkEnd w:id="2"/>
      <w:r w:rsidDel="00000000" w:rsidR="00000000" w:rsidRPr="00000000">
        <w:rPr>
          <w:rtl w:val="0"/>
        </w:rPr>
        <w:t xml:space="preserve">Test Case: User Login (First time) No.1</w:t>
        <w:br w:type="textWrapping"/>
        <w:t xml:space="preserve">Tester: xxxxxx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Steps(Input):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`localhost:8083/audioMail/login/loading` Navigate to the login page.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valid username and password. (Personal account information is omitted here)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"Login" button.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redirected to the homepage.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able to successfully login with valid credentials.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redirected to the homepage.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User's name is displayed on the homepage.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 Results: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passed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t xml:space="preserve">We can write black-box test cases based on the importance of the functionality.  Here are some other examplesTest Case: 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dokt3w3ael5g" w:id="3"/>
      <w:bookmarkEnd w:id="3"/>
      <w:r w:rsidDel="00000000" w:rsidR="00000000" w:rsidRPr="00000000">
        <w:rPr>
          <w:rtl w:val="0"/>
        </w:rPr>
        <w:t xml:space="preserve">User Login (Second time) No.2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1m8wgn6mpyeu" w:id="4"/>
      <w:bookmarkEnd w:id="4"/>
      <w:r w:rsidDel="00000000" w:rsidR="00000000" w:rsidRPr="00000000">
        <w:rPr>
          <w:rtl w:val="0"/>
        </w:rPr>
        <w:t xml:space="preserve">Test Case: Change Account (TODO  I forget this function)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xx9e8fmxbtjq" w:id="5"/>
      <w:bookmarkEnd w:id="5"/>
      <w:r w:rsidDel="00000000" w:rsidR="00000000" w:rsidRPr="00000000">
        <w:rPr>
          <w:rtl w:val="0"/>
        </w:rPr>
        <w:t xml:space="preserve">Test Case: Send Emails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5kdh1gc3mvn" w:id="6"/>
      <w:bookmarkEnd w:id="6"/>
      <w:r w:rsidDel="00000000" w:rsidR="00000000" w:rsidRPr="00000000">
        <w:rPr>
          <w:rtl w:val="0"/>
        </w:rPr>
        <w:t xml:space="preserve">Test Case: Read emails at scheduled intervals. 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ru7jmr14lrtx" w:id="7"/>
      <w:bookmarkEnd w:id="7"/>
      <w:r w:rsidDel="00000000" w:rsidR="00000000" w:rsidRPr="00000000">
        <w:rPr>
          <w:rtl w:val="0"/>
        </w:rPr>
        <w:t xml:space="preserve">Test Case: Read emails at scheduled intervals. 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pjobd0vv2jp4" w:id="8"/>
      <w:bookmarkEnd w:id="8"/>
      <w:r w:rsidDel="00000000" w:rsidR="00000000" w:rsidRPr="00000000">
        <w:rPr>
          <w:rtl w:val="0"/>
        </w:rPr>
        <w:t xml:space="preserve">Test Case: Convert html to voice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aai87t5o09v5" w:id="9"/>
      <w:bookmarkEnd w:id="9"/>
      <w:r w:rsidDel="00000000" w:rsidR="00000000" w:rsidRPr="00000000">
        <w:rPr>
          <w:rtl w:val="0"/>
        </w:rPr>
        <w:t xml:space="preserve">Test Case: Convert html to voice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5qycq8zgyy7l" w:id="10"/>
      <w:bookmarkEnd w:id="10"/>
      <w:r w:rsidDel="00000000" w:rsidR="00000000" w:rsidRPr="00000000">
        <w:rPr>
          <w:rtl w:val="0"/>
        </w:rPr>
        <w:t xml:space="preserve">SpringShell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Normally, white-box test should be done using JUnit. However, I ran into some issues when configuring it, and I couldn't get it to start despite my best efforts. Therefore, we'll need to use SpringShell for unit testing.  Like this. In the CLI package.</w:t>
        <w:br w:type="textWrapping"/>
      </w:r>
      <w:r w:rsidDel="00000000" w:rsidR="00000000" w:rsidRPr="00000000">
        <w:rPr/>
        <w:drawing>
          <wp:inline distB="114300" distT="114300" distL="114300" distR="114300">
            <wp:extent cx="3948113" cy="37962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3796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ngqing Zhang" w:id="0" w:date="2023-04-26T22:03:44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what I think may need to be resolved as soon as possible.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