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720nn5wz13ir" w:id="0"/>
      <w:bookmarkEnd w:id="0"/>
      <w:r w:rsidDel="00000000" w:rsidR="00000000" w:rsidRPr="00000000">
        <w:rPr>
          <w:rtl w:val="0"/>
        </w:rPr>
        <w:t xml:space="preserve">Questions for advisor</w:t>
      </w:r>
    </w:p>
    <w:p w:rsidR="00000000" w:rsidDel="00000000" w:rsidP="00000000" w:rsidRDefault="00000000" w:rsidRPr="00000000" w14:paraId="00000002">
      <w:pPr>
        <w:numPr>
          <w:ilvl w:val="0"/>
          <w:numId w:val="3"/>
        </w:numPr>
        <w:ind w:left="720" w:hanging="360"/>
        <w:rPr/>
      </w:pPr>
      <w:r w:rsidDel="00000000" w:rsidR="00000000" w:rsidRPr="00000000">
        <w:rPr>
          <w:rtl w:val="0"/>
        </w:rPr>
        <w:t xml:space="preserve">How often should we be doing task estimation?</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pStyle w:val="Heading2"/>
        <w:rPr/>
      </w:pPr>
      <w:bookmarkStart w:colFirst="0" w:colLast="0" w:name="_a7crn5t3etyw" w:id="1"/>
      <w:bookmarkEnd w:id="1"/>
      <w:r w:rsidDel="00000000" w:rsidR="00000000" w:rsidRPr="00000000">
        <w:rPr>
          <w:rtl w:val="0"/>
        </w:rPr>
        <w:t xml:space="preserve">Questions for us</w:t>
      </w:r>
    </w:p>
    <w:p w:rsidR="00000000" w:rsidDel="00000000" w:rsidP="00000000" w:rsidRDefault="00000000" w:rsidRPr="00000000" w14:paraId="00000005">
      <w:pPr>
        <w:pStyle w:val="Heading4"/>
        <w:rPr/>
      </w:pPr>
      <w:bookmarkStart w:colFirst="0" w:colLast="0" w:name="_v06ryj6wlaod" w:id="2"/>
      <w:bookmarkEnd w:id="2"/>
      <w:r w:rsidDel="00000000" w:rsidR="00000000" w:rsidRPr="00000000">
        <w:rPr>
          <w:rtl w:val="0"/>
        </w:rPr>
        <w:t xml:space="preserve">TTS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Specific to TTS: at the moment, G2P returns lexical stress markers, e.g. inputting “hello world” returns “['pau-HH', 'HH-AH</w:t>
      </w:r>
      <w:r w:rsidDel="00000000" w:rsidR="00000000" w:rsidRPr="00000000">
        <w:rPr>
          <w:highlight w:val="yellow"/>
          <w:rtl w:val="0"/>
        </w:rPr>
        <w:t xml:space="preserve">0</w:t>
      </w:r>
      <w:r w:rsidDel="00000000" w:rsidR="00000000" w:rsidRPr="00000000">
        <w:rPr>
          <w:rtl w:val="0"/>
        </w:rPr>
        <w:t xml:space="preserve">', 'AH</w:t>
      </w:r>
      <w:r w:rsidDel="00000000" w:rsidR="00000000" w:rsidRPr="00000000">
        <w:rPr>
          <w:highlight w:val="yellow"/>
          <w:rtl w:val="0"/>
        </w:rPr>
        <w:t xml:space="preserve">0</w:t>
      </w:r>
      <w:r w:rsidDel="00000000" w:rsidR="00000000" w:rsidRPr="00000000">
        <w:rPr>
          <w:rtl w:val="0"/>
        </w:rPr>
        <w:t xml:space="preserve">-L', 'L-OW</w:t>
      </w:r>
      <w:r w:rsidDel="00000000" w:rsidR="00000000" w:rsidRPr="00000000">
        <w:rPr>
          <w:highlight w:val="yellow"/>
          <w:rtl w:val="0"/>
        </w:rPr>
        <w:t xml:space="preserve">1</w:t>
      </w:r>
      <w:r w:rsidDel="00000000" w:rsidR="00000000" w:rsidRPr="00000000">
        <w:rPr>
          <w:rtl w:val="0"/>
        </w:rPr>
        <w:t xml:space="preserve">',” etc., and this is useful, but I’m wondering if we can use another marker to represent other types of prosody - for example, if the pre-processing part of the pipeline returns a list of tokens containing “!” or “?”, then we need some way for the G2P output to send this information to the synth part, so that the synth part can increase volume or pitch</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Once we have the full pipeline (email+TTS) working, we should probably think about runtime and ways to speed it up</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2"/>
        <w:rPr/>
      </w:pPr>
      <w:bookmarkStart w:colFirst="0" w:colLast="0" w:name="_3itnxzzhiu1v" w:id="3"/>
      <w:bookmarkEnd w:id="3"/>
      <w:r w:rsidDel="00000000" w:rsidR="00000000" w:rsidRPr="00000000">
        <w:rPr>
          <w:rtl w:val="0"/>
        </w:rPr>
        <w:t xml:space="preserve">Meeting with advisor: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